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C7A6" w14:textId="77777777" w:rsidR="00BD6A10" w:rsidRPr="000D1EE7" w:rsidRDefault="00BD6A10" w:rsidP="00BD6A10">
      <w:pPr>
        <w:spacing w:after="0" w:line="240" w:lineRule="auto"/>
        <w:ind w:right="4"/>
        <w:jc w:val="center"/>
        <w:rPr>
          <w:rFonts w:ascii="Cambria" w:hAnsi="Cambria"/>
          <w:color w:val="000000" w:themeColor="text1"/>
          <w:lang w:val="es-US"/>
        </w:rPr>
      </w:pPr>
      <w:r w:rsidRPr="000D1EE7">
        <w:rPr>
          <w:rFonts w:ascii="Cambria" w:hAnsi="Cambria"/>
          <w:b/>
          <w:color w:val="000000" w:themeColor="text1"/>
          <w:lang w:val="es-US"/>
        </w:rPr>
        <w:t>FICHA TÉCNICA INFORMATIVA</w:t>
      </w:r>
    </w:p>
    <w:p w14:paraId="5D8E0442" w14:textId="09FE3B81" w:rsidR="00370712" w:rsidRPr="000D1EE7" w:rsidRDefault="00370712" w:rsidP="00370712">
      <w:pPr>
        <w:pStyle w:val="NoSpacing"/>
        <w:ind w:left="-270" w:right="-270"/>
        <w:jc w:val="center"/>
        <w:rPr>
          <w:rFonts w:ascii="Cambria" w:hAnsi="Cambria"/>
          <w:b/>
          <w:color w:val="000000"/>
          <w:lang w:val="es-CO"/>
        </w:rPr>
      </w:pPr>
      <w:r w:rsidRPr="00F42DE5">
        <w:rPr>
          <w:rFonts w:ascii="Cambria" w:hAnsi="Cambria"/>
          <w:b/>
          <w:color w:val="000000"/>
          <w:lang w:val="es-CO"/>
        </w:rPr>
        <w:t>PETICIÓN 108-00 MASACRE DE SEGOVIA</w:t>
      </w:r>
    </w:p>
    <w:p w14:paraId="59EC4B15" w14:textId="409EA079" w:rsidR="00BD6A10" w:rsidRPr="000D1EE7" w:rsidRDefault="00BD6A10" w:rsidP="00BD6A10">
      <w:pPr>
        <w:spacing w:after="0" w:line="240" w:lineRule="auto"/>
        <w:ind w:right="4"/>
        <w:jc w:val="center"/>
        <w:rPr>
          <w:rFonts w:ascii="Cambria" w:eastAsia="Batang" w:hAnsi="Cambria"/>
          <w:b/>
          <w:color w:val="000000" w:themeColor="text1"/>
          <w:lang w:val="es-CO" w:eastAsia="es-ES_tradnl"/>
        </w:rPr>
      </w:pPr>
      <w:r w:rsidRPr="000D1EE7">
        <w:rPr>
          <w:rFonts w:ascii="Cambria" w:eastAsia="Batang" w:hAnsi="Cambria"/>
          <w:b/>
          <w:color w:val="000000" w:themeColor="text1"/>
          <w:lang w:val="es-CO"/>
        </w:rPr>
        <w:t xml:space="preserve">INFORME DE SOLUCIÓN AMISTOSA </w:t>
      </w:r>
      <w:r w:rsidRPr="00F42DE5">
        <w:rPr>
          <w:rFonts w:ascii="Cambria" w:eastAsia="Batang" w:hAnsi="Cambria"/>
          <w:b/>
          <w:color w:val="000000" w:themeColor="text1"/>
          <w:lang w:val="es-CO"/>
        </w:rPr>
        <w:t>No.</w:t>
      </w:r>
      <w:r w:rsidR="00082066" w:rsidRPr="00F42DE5">
        <w:rPr>
          <w:rFonts w:ascii="Cambria" w:eastAsia="Batang" w:hAnsi="Cambria"/>
          <w:b/>
          <w:color w:val="000000" w:themeColor="text1"/>
          <w:lang w:val="es-CO"/>
        </w:rPr>
        <w:t xml:space="preserve"> </w:t>
      </w:r>
      <w:hyperlink r:id="rId12" w:history="1">
        <w:r w:rsidR="00EF1B6E" w:rsidRPr="00F42DE5">
          <w:rPr>
            <w:rStyle w:val="Hyperlink"/>
            <w:rFonts w:ascii="Cambria" w:hAnsi="Cambria"/>
            <w:b/>
            <w:bCs/>
            <w:color w:val="000000"/>
            <w:u w:val="none"/>
            <w:lang w:val="es-CO"/>
          </w:rPr>
          <w:t>38/15</w:t>
        </w:r>
      </w:hyperlink>
    </w:p>
    <w:p w14:paraId="5909406A" w14:textId="77777777" w:rsidR="00BD6A10" w:rsidRPr="000D1EE7" w:rsidRDefault="00BD6A10" w:rsidP="00BD6A10">
      <w:pPr>
        <w:spacing w:after="0" w:line="240" w:lineRule="auto"/>
        <w:ind w:right="4"/>
        <w:jc w:val="center"/>
        <w:rPr>
          <w:rFonts w:ascii="Cambria" w:eastAsia="Batang" w:hAnsi="Cambria"/>
          <w:b/>
          <w:color w:val="000000" w:themeColor="text1"/>
          <w:lang w:val="es-CO"/>
        </w:rPr>
      </w:pPr>
      <w:r w:rsidRPr="000D1EE7">
        <w:rPr>
          <w:rFonts w:ascii="Cambria" w:eastAsia="Batang" w:hAnsi="Cambria"/>
          <w:b/>
          <w:color w:val="000000" w:themeColor="text1"/>
          <w:lang w:val="es-CO"/>
        </w:rPr>
        <w:t>CUMPLIMIENTO TOTAL</w:t>
      </w:r>
    </w:p>
    <w:p w14:paraId="52F90FE7" w14:textId="77777777" w:rsidR="00BD6A10" w:rsidRPr="00EF1B6E" w:rsidRDefault="00BD6A10" w:rsidP="00BD6A10">
      <w:pPr>
        <w:spacing w:after="0" w:line="240" w:lineRule="auto"/>
        <w:ind w:right="4"/>
        <w:jc w:val="center"/>
        <w:rPr>
          <w:rFonts w:ascii="Cambria" w:eastAsia="Batang" w:hAnsi="Cambria"/>
          <w:b/>
          <w:color w:val="000000" w:themeColor="text1"/>
          <w:lang w:val="es-CO"/>
        </w:rPr>
      </w:pPr>
      <w:r w:rsidRPr="00F42DE5">
        <w:rPr>
          <w:rFonts w:ascii="Cambria" w:eastAsia="Batang" w:hAnsi="Cambria"/>
          <w:b/>
          <w:color w:val="000000" w:themeColor="text1"/>
          <w:lang w:val="es-CO"/>
        </w:rPr>
        <w:t>(COLOMBIA)</w:t>
      </w:r>
    </w:p>
    <w:p w14:paraId="0C51BB25" w14:textId="77777777" w:rsidR="003B3362" w:rsidRPr="0009182C" w:rsidRDefault="003B3362" w:rsidP="003B3362">
      <w:pPr>
        <w:spacing w:after="0" w:line="240" w:lineRule="auto"/>
        <w:jc w:val="center"/>
        <w:rPr>
          <w:rFonts w:ascii="Cambria" w:eastAsia="Batang" w:hAnsi="Cambria"/>
          <w:b/>
          <w:color w:val="080808"/>
          <w:lang w:val="es-CO"/>
        </w:rPr>
      </w:pPr>
    </w:p>
    <w:p w14:paraId="36852FB7" w14:textId="77777777" w:rsidR="003B3362" w:rsidRPr="0009182C" w:rsidRDefault="003B3362" w:rsidP="003B3362">
      <w:pPr>
        <w:numPr>
          <w:ilvl w:val="0"/>
          <w:numId w:val="37"/>
        </w:numPr>
        <w:spacing w:after="0" w:line="240" w:lineRule="auto"/>
        <w:ind w:left="0" w:firstLine="709"/>
        <w:rPr>
          <w:rFonts w:ascii="Cambria" w:eastAsia="Batang" w:hAnsi="Cambria"/>
          <w:b/>
          <w:color w:val="080808"/>
          <w:lang w:val="es-CO"/>
        </w:rPr>
      </w:pPr>
      <w:r w:rsidRPr="0009182C">
        <w:rPr>
          <w:rFonts w:ascii="Cambria" w:eastAsia="Batang" w:hAnsi="Cambria" w:cs="Calibri Light"/>
          <w:b/>
          <w:color w:val="080808"/>
          <w:lang w:val="es-CO"/>
        </w:rPr>
        <w:t xml:space="preserve">RESUMEN DEL CASO </w:t>
      </w:r>
    </w:p>
    <w:p w14:paraId="2E845EF1" w14:textId="77777777" w:rsidR="003B3362" w:rsidRPr="0009182C" w:rsidRDefault="003B3362" w:rsidP="003B3362">
      <w:pPr>
        <w:spacing w:after="0" w:line="240" w:lineRule="auto"/>
        <w:jc w:val="both"/>
        <w:rPr>
          <w:rFonts w:ascii="Cambria" w:eastAsia="Batang" w:hAnsi="Cambria" w:cs="Calibri Light"/>
          <w:b/>
          <w:color w:val="080808"/>
          <w:lang w:val="es-CO"/>
        </w:rPr>
      </w:pP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77"/>
      </w:tblGrid>
      <w:tr w:rsidR="003B3362" w:rsidRPr="00F42DE5" w14:paraId="78B6CDC5" w14:textId="77777777" w:rsidTr="00F024F0">
        <w:trPr>
          <w:trHeight w:val="4517"/>
        </w:trPr>
        <w:tc>
          <w:tcPr>
            <w:tcW w:w="9377" w:type="dxa"/>
            <w:shd w:val="clear" w:color="auto" w:fill="F2F2F2"/>
          </w:tcPr>
          <w:p w14:paraId="48131C2A" w14:textId="77777777" w:rsidR="00EF1B6E" w:rsidRPr="00F42DE5" w:rsidRDefault="00EF1B6E" w:rsidP="00EF1B6E">
            <w:pPr>
              <w:pStyle w:val="NoSpacing"/>
              <w:jc w:val="both"/>
              <w:rPr>
                <w:rFonts w:ascii="Cambria" w:hAnsi="Cambria"/>
                <w:color w:val="000000"/>
                <w:sz w:val="20"/>
                <w:szCs w:val="20"/>
                <w:lang w:val="es-CO"/>
              </w:rPr>
            </w:pPr>
            <w:r w:rsidRPr="00F42DE5">
              <w:rPr>
                <w:rFonts w:ascii="Cambria" w:hAnsi="Cambria"/>
                <w:b/>
                <w:color w:val="000000"/>
                <w:sz w:val="20"/>
                <w:szCs w:val="20"/>
                <w:lang w:val="es-CO"/>
              </w:rPr>
              <w:t>Víctima (s):</w:t>
            </w:r>
            <w:r w:rsidRPr="00F42DE5">
              <w:rPr>
                <w:rFonts w:ascii="Cambria" w:hAnsi="Cambria"/>
                <w:color w:val="000000"/>
                <w:sz w:val="20"/>
                <w:szCs w:val="20"/>
                <w:lang w:val="es-CO"/>
              </w:rPr>
              <w:t xml:space="preserve"> Masacre de Segovia</w:t>
            </w:r>
          </w:p>
          <w:p w14:paraId="202C5585" w14:textId="77777777" w:rsidR="00EF1B6E" w:rsidRPr="00F42DE5" w:rsidRDefault="00EF1B6E" w:rsidP="00EF1B6E">
            <w:pPr>
              <w:pStyle w:val="NoSpacing"/>
              <w:jc w:val="both"/>
              <w:rPr>
                <w:rFonts w:ascii="Cambria" w:hAnsi="Cambria"/>
                <w:color w:val="000000"/>
                <w:sz w:val="20"/>
                <w:szCs w:val="20"/>
                <w:lang w:val="es-CO"/>
              </w:rPr>
            </w:pPr>
            <w:r w:rsidRPr="00F42DE5">
              <w:rPr>
                <w:rFonts w:ascii="Cambria" w:hAnsi="Cambria"/>
                <w:b/>
                <w:color w:val="000000"/>
                <w:sz w:val="20"/>
                <w:szCs w:val="20"/>
                <w:lang w:val="es-CO"/>
              </w:rPr>
              <w:t xml:space="preserve">Peticionario (s): </w:t>
            </w:r>
            <w:r w:rsidRPr="00F42DE5">
              <w:rPr>
                <w:rFonts w:ascii="Cambria" w:hAnsi="Cambria"/>
                <w:color w:val="000000"/>
                <w:sz w:val="20"/>
                <w:szCs w:val="20"/>
                <w:lang w:val="es-CO"/>
              </w:rPr>
              <w:t>Javier Leonidas Villegas Posada</w:t>
            </w:r>
          </w:p>
          <w:p w14:paraId="5FD9961F" w14:textId="77777777" w:rsidR="00EF1B6E" w:rsidRPr="00F42DE5" w:rsidRDefault="00EF1B6E" w:rsidP="00EF1B6E">
            <w:pPr>
              <w:pStyle w:val="NoSpacing"/>
              <w:jc w:val="both"/>
              <w:rPr>
                <w:rFonts w:ascii="Cambria" w:hAnsi="Cambria"/>
                <w:color w:val="000000"/>
                <w:sz w:val="20"/>
                <w:szCs w:val="20"/>
                <w:lang w:val="es-CO"/>
              </w:rPr>
            </w:pPr>
            <w:r w:rsidRPr="00F42DE5">
              <w:rPr>
                <w:rFonts w:ascii="Cambria" w:hAnsi="Cambria"/>
                <w:b/>
                <w:color w:val="000000"/>
                <w:sz w:val="20"/>
                <w:szCs w:val="20"/>
                <w:lang w:val="es-CO"/>
              </w:rPr>
              <w:t>Estado:</w:t>
            </w:r>
            <w:r w:rsidRPr="00F42DE5">
              <w:rPr>
                <w:rFonts w:ascii="Cambria" w:hAnsi="Cambria"/>
                <w:color w:val="000000"/>
                <w:sz w:val="20"/>
                <w:szCs w:val="20"/>
                <w:lang w:val="es-CO"/>
              </w:rPr>
              <w:t xml:space="preserve"> Colombia</w:t>
            </w:r>
          </w:p>
          <w:p w14:paraId="3961160D" w14:textId="77777777" w:rsidR="00EF1B6E" w:rsidRPr="00F42DE5" w:rsidRDefault="00EF1B6E" w:rsidP="00EF1B6E">
            <w:pPr>
              <w:pStyle w:val="NoSpacing"/>
              <w:jc w:val="both"/>
              <w:rPr>
                <w:rFonts w:ascii="Cambria" w:hAnsi="Cambria"/>
                <w:bCs/>
                <w:sz w:val="20"/>
                <w:szCs w:val="20"/>
                <w:lang w:val="es-CO"/>
              </w:rPr>
            </w:pPr>
            <w:r w:rsidRPr="00F42DE5">
              <w:rPr>
                <w:rFonts w:ascii="Cambria" w:hAnsi="Cambria"/>
                <w:b/>
                <w:bCs/>
                <w:color w:val="000000"/>
                <w:sz w:val="20"/>
                <w:szCs w:val="20"/>
                <w:lang w:val="es-CO"/>
              </w:rPr>
              <w:t xml:space="preserve">Fecha de inicio de las negociaciones: </w:t>
            </w:r>
            <w:r w:rsidRPr="00F42DE5">
              <w:rPr>
                <w:rFonts w:ascii="Cambria" w:hAnsi="Cambria"/>
                <w:bCs/>
                <w:sz w:val="20"/>
                <w:szCs w:val="20"/>
                <w:lang w:val="es-CO"/>
              </w:rPr>
              <w:t>22 de abril de 2014</w:t>
            </w:r>
          </w:p>
          <w:p w14:paraId="5C97D50D" w14:textId="77777777" w:rsidR="00EF1B6E" w:rsidRPr="00F42DE5" w:rsidRDefault="00EF1B6E" w:rsidP="00EF1B6E">
            <w:pPr>
              <w:rPr>
                <w:rFonts w:ascii="Cambria" w:hAnsi="Cambria"/>
                <w:b/>
                <w:bCs/>
                <w:color w:val="000000"/>
                <w:sz w:val="20"/>
                <w:szCs w:val="20"/>
                <w:lang w:val="es-CO"/>
              </w:rPr>
            </w:pPr>
            <w:r w:rsidRPr="00F42DE5">
              <w:rPr>
                <w:rFonts w:ascii="Cambria" w:hAnsi="Cambria"/>
                <w:b/>
                <w:bCs/>
                <w:color w:val="000000"/>
                <w:sz w:val="20"/>
                <w:szCs w:val="20"/>
                <w:lang w:val="es-CO"/>
              </w:rPr>
              <w:t xml:space="preserve">Fecha de Firma de ASA: </w:t>
            </w:r>
            <w:r w:rsidRPr="00F42DE5">
              <w:rPr>
                <w:rFonts w:ascii="Cambria" w:hAnsi="Cambria"/>
                <w:bCs/>
                <w:color w:val="000000"/>
                <w:sz w:val="20"/>
                <w:szCs w:val="20"/>
                <w:lang w:val="es-CO"/>
              </w:rPr>
              <w:t>6 de mayo de 2015</w:t>
            </w:r>
          </w:p>
          <w:p w14:paraId="47D535E1" w14:textId="77777777" w:rsidR="00EF1B6E" w:rsidRPr="00F42DE5" w:rsidRDefault="00EF1B6E" w:rsidP="00EF1B6E">
            <w:pPr>
              <w:pStyle w:val="NoSpacing"/>
              <w:jc w:val="both"/>
              <w:rPr>
                <w:rFonts w:ascii="Cambria" w:hAnsi="Cambria"/>
                <w:color w:val="000000"/>
                <w:sz w:val="20"/>
                <w:szCs w:val="20"/>
                <w:lang w:val="es-CO"/>
              </w:rPr>
            </w:pPr>
            <w:r w:rsidRPr="00F42DE5">
              <w:rPr>
                <w:rFonts w:ascii="Cambria" w:hAnsi="Cambria"/>
                <w:b/>
                <w:color w:val="000000"/>
                <w:sz w:val="20"/>
                <w:szCs w:val="20"/>
                <w:lang w:val="es-CO"/>
              </w:rPr>
              <w:t xml:space="preserve">Informe de Acuerdo de Solución Amistosa.: </w:t>
            </w:r>
            <w:hyperlink r:id="rId13" w:history="1">
              <w:r w:rsidRPr="00F42DE5">
                <w:rPr>
                  <w:rStyle w:val="Hyperlink"/>
                  <w:rFonts w:ascii="Cambria" w:hAnsi="Cambria"/>
                  <w:b/>
                  <w:bCs/>
                  <w:color w:val="000000"/>
                  <w:sz w:val="20"/>
                  <w:szCs w:val="20"/>
                  <w:lang w:val="es-CO"/>
                </w:rPr>
                <w:t>38/15</w:t>
              </w:r>
            </w:hyperlink>
            <w:r w:rsidRPr="00F42DE5">
              <w:rPr>
                <w:rFonts w:ascii="Cambria" w:hAnsi="Cambria"/>
                <w:color w:val="000000"/>
                <w:sz w:val="20"/>
                <w:szCs w:val="20"/>
                <w:lang w:val="es-CO"/>
              </w:rPr>
              <w:t>, publicado el 24  de julio de 2015</w:t>
            </w:r>
          </w:p>
          <w:p w14:paraId="5980D0A1" w14:textId="77777777" w:rsidR="00EF1B6E" w:rsidRPr="00F42DE5" w:rsidRDefault="00EF1B6E" w:rsidP="00EF1B6E">
            <w:pPr>
              <w:rPr>
                <w:rFonts w:ascii="Cambria" w:hAnsi="Cambria"/>
                <w:bCs/>
                <w:color w:val="000000"/>
                <w:sz w:val="20"/>
                <w:szCs w:val="20"/>
                <w:lang w:val="es-CO"/>
              </w:rPr>
            </w:pPr>
            <w:r w:rsidRPr="00F42DE5">
              <w:rPr>
                <w:rFonts w:ascii="Cambria" w:hAnsi="Cambria"/>
                <w:b/>
                <w:bCs/>
                <w:color w:val="000000"/>
                <w:sz w:val="20"/>
                <w:szCs w:val="20"/>
                <w:lang w:val="es-CO"/>
              </w:rPr>
              <w:t xml:space="preserve">Duración estimada de la fase de negociación: </w:t>
            </w:r>
            <w:r w:rsidRPr="00F42DE5">
              <w:rPr>
                <w:rFonts w:ascii="Cambria" w:hAnsi="Cambria"/>
                <w:bCs/>
                <w:color w:val="000000"/>
                <w:sz w:val="20"/>
                <w:szCs w:val="20"/>
                <w:lang w:val="es-CO"/>
              </w:rPr>
              <w:t>1 año</w:t>
            </w:r>
          </w:p>
          <w:p w14:paraId="3DD08CCD" w14:textId="77777777" w:rsidR="00EF1B6E" w:rsidRPr="00F42DE5" w:rsidRDefault="00EF1B6E" w:rsidP="00EF1B6E">
            <w:pPr>
              <w:pStyle w:val="NoSpacing"/>
              <w:jc w:val="both"/>
              <w:rPr>
                <w:rFonts w:ascii="Cambria" w:hAnsi="Cambria"/>
                <w:color w:val="000000"/>
                <w:sz w:val="20"/>
                <w:szCs w:val="20"/>
                <w:lang w:val="es-CO"/>
              </w:rPr>
            </w:pPr>
            <w:r w:rsidRPr="00F42DE5">
              <w:rPr>
                <w:rFonts w:ascii="Cambria" w:hAnsi="Cambria"/>
                <w:b/>
                <w:color w:val="000000"/>
                <w:sz w:val="20"/>
                <w:szCs w:val="20"/>
                <w:lang w:val="es-CO"/>
              </w:rPr>
              <w:t>Relatoría vinculada:</w:t>
            </w:r>
            <w:r w:rsidRPr="00F42DE5">
              <w:rPr>
                <w:rFonts w:ascii="Cambria" w:hAnsi="Cambria"/>
                <w:color w:val="000000"/>
                <w:sz w:val="20"/>
                <w:szCs w:val="20"/>
                <w:lang w:val="es-CO"/>
              </w:rPr>
              <w:t xml:space="preserve"> Unidad de Memoria, Verdad y Justicia</w:t>
            </w:r>
          </w:p>
          <w:p w14:paraId="04B665EC" w14:textId="77777777" w:rsidR="00EF1B6E" w:rsidRPr="00F42DE5" w:rsidRDefault="00EF1B6E" w:rsidP="00EF1B6E">
            <w:pPr>
              <w:pStyle w:val="NoSpacing"/>
              <w:tabs>
                <w:tab w:val="left" w:pos="9270"/>
              </w:tabs>
              <w:jc w:val="both"/>
              <w:rPr>
                <w:rFonts w:ascii="Cambria" w:hAnsi="Cambria"/>
                <w:color w:val="000000"/>
                <w:sz w:val="20"/>
                <w:szCs w:val="20"/>
                <w:lang w:val="es-CO"/>
              </w:rPr>
            </w:pPr>
            <w:r w:rsidRPr="00F42DE5">
              <w:rPr>
                <w:rFonts w:ascii="Cambria" w:hAnsi="Cambria"/>
                <w:b/>
                <w:color w:val="000000"/>
                <w:sz w:val="20"/>
                <w:szCs w:val="20"/>
                <w:lang w:val="es-CO"/>
              </w:rPr>
              <w:t>Temas:</w:t>
            </w:r>
            <w:r w:rsidRPr="00F42DE5">
              <w:rPr>
                <w:rFonts w:ascii="Cambria" w:hAnsi="Cambria"/>
                <w:color w:val="000000"/>
                <w:sz w:val="20"/>
                <w:szCs w:val="20"/>
                <w:lang w:val="es-CO"/>
              </w:rPr>
              <w:t xml:space="preserve"> Ejecuciones sumarias, extrajudiciales o arbitrarias/ Derecho a la vida/ Masacre/ Derecho a las garantías judiciales/ Derecho a las garantías de protección judicial/ Investigación </w:t>
            </w:r>
          </w:p>
          <w:p w14:paraId="6470D338" w14:textId="77777777" w:rsidR="00EF1B6E" w:rsidRPr="00F42DE5" w:rsidRDefault="00EF1B6E" w:rsidP="00EF1B6E">
            <w:pPr>
              <w:pStyle w:val="NoSpacing"/>
              <w:jc w:val="both"/>
              <w:rPr>
                <w:rFonts w:ascii="Cambria" w:hAnsi="Cambria"/>
                <w:color w:val="000000"/>
                <w:sz w:val="20"/>
                <w:szCs w:val="20"/>
                <w:lang w:val="es-CO"/>
              </w:rPr>
            </w:pPr>
          </w:p>
          <w:p w14:paraId="5763E5EE" w14:textId="77777777" w:rsidR="00EF1B6E" w:rsidRPr="00F42DE5" w:rsidRDefault="00EF1B6E" w:rsidP="00EF1B6E">
            <w:pPr>
              <w:pStyle w:val="NoSpacing"/>
              <w:jc w:val="both"/>
              <w:rPr>
                <w:rFonts w:ascii="Cambria" w:hAnsi="Cambria"/>
                <w:color w:val="000000"/>
                <w:sz w:val="20"/>
                <w:szCs w:val="20"/>
                <w:lang w:val="es-CO"/>
              </w:rPr>
            </w:pPr>
            <w:r w:rsidRPr="00F42DE5">
              <w:rPr>
                <w:rFonts w:ascii="Cambria" w:hAnsi="Cambria"/>
                <w:b/>
                <w:color w:val="000000"/>
                <w:sz w:val="20"/>
                <w:szCs w:val="20"/>
                <w:lang w:val="es-CO"/>
              </w:rPr>
              <w:t>Hechos:</w:t>
            </w:r>
            <w:r w:rsidRPr="00F42DE5">
              <w:rPr>
                <w:rFonts w:ascii="Cambria" w:hAnsi="Cambria"/>
                <w:color w:val="000000"/>
                <w:sz w:val="20"/>
                <w:szCs w:val="20"/>
                <w:lang w:val="es-CO"/>
              </w:rPr>
              <w:t xml:space="preserve"> El caso se refiere a los hechos sucedidos el día 11 de noviembre de 1988, cuando un grupo de hombres fuertemente armado habría llegado en camiones al centro del municipio de Segovia, Antioquia, abriendo fuego y arrojando granadas, lo cual habría resultado en la muerte de 43 personas, entre ellas tres niños, y otras 50 personas habrían resultado heridas. Según lo indicado en la petición, la masacre fue perpetrada por paramilitares con la aquiescencia del Ejército Nacional, y el sistema judicial colombiano habría condenado a cinco militares y cuatro civiles a penas de prisión y multas por el delito de terrorismo y otros, por los hechos narrados en la petición; sin embargo, no se habría investigado y sancionado a todos los responsables. La petición se presentó a favor de 29 personas que perdieron la vida y 4 personas lesionadas por los hechos y sus respectivos grupos familiares, y posteriormente se amplió este grupo incluyendo a 5 presuntas víctimas adicionales y sus familiares.</w:t>
            </w:r>
          </w:p>
          <w:p w14:paraId="2E78CC74" w14:textId="77777777" w:rsidR="00EF1B6E" w:rsidRPr="00F42DE5" w:rsidRDefault="00EF1B6E" w:rsidP="00EF1B6E">
            <w:pPr>
              <w:pStyle w:val="NoSpacing"/>
              <w:jc w:val="both"/>
              <w:rPr>
                <w:rFonts w:ascii="Cambria" w:hAnsi="Cambria"/>
                <w:color w:val="000000"/>
                <w:sz w:val="20"/>
                <w:szCs w:val="20"/>
                <w:lang w:val="es-CO"/>
              </w:rPr>
            </w:pPr>
          </w:p>
          <w:p w14:paraId="039EA89A" w14:textId="6B4854AE" w:rsidR="000F6AC8" w:rsidRPr="00F42DE5" w:rsidRDefault="00EF1B6E" w:rsidP="00EF1B6E">
            <w:pPr>
              <w:autoSpaceDE w:val="0"/>
              <w:autoSpaceDN w:val="0"/>
              <w:adjustRightInd w:val="0"/>
              <w:spacing w:after="0" w:line="240" w:lineRule="auto"/>
              <w:jc w:val="both"/>
              <w:rPr>
                <w:rFonts w:ascii="Cambria" w:eastAsia="Batang" w:hAnsi="Cambria" w:cs="Cambria"/>
                <w:color w:val="080808"/>
                <w:sz w:val="20"/>
                <w:szCs w:val="20"/>
                <w:lang w:val="es-CO" w:eastAsia="pt-BR"/>
              </w:rPr>
            </w:pPr>
            <w:r w:rsidRPr="00F42DE5">
              <w:rPr>
                <w:rFonts w:ascii="Cambria" w:hAnsi="Cambria"/>
                <w:b/>
                <w:color w:val="000000"/>
                <w:sz w:val="20"/>
                <w:szCs w:val="20"/>
                <w:lang w:val="es-CO"/>
              </w:rPr>
              <w:t>Derechos alegados:</w:t>
            </w:r>
            <w:r w:rsidRPr="00F42DE5">
              <w:rPr>
                <w:rFonts w:ascii="Cambria" w:hAnsi="Cambria"/>
                <w:color w:val="000000"/>
                <w:sz w:val="20"/>
                <w:szCs w:val="20"/>
                <w:lang w:val="es-CO"/>
              </w:rPr>
              <w:t xml:space="preserve"> El peticionario alegó la violación de los artículos 1 (obligación de respetar los derechos), 4 (derecho a la vida), 5 (derecho a la integridad personal), 7 (derecho a la libertad personal), 8 (derecho a las garantías judiciales), 10 (derecho a la indemnización), 11 (protección de la honra y la dignidad), 17 (protección a la familia), 22 (derecho de circulación y de residencia) y 25 (derecho a la protección judicial) de la Convención Americana sobre Derechos Humanos.</w:t>
            </w:r>
          </w:p>
        </w:tc>
      </w:tr>
    </w:tbl>
    <w:p w14:paraId="1800F6C1" w14:textId="77777777" w:rsidR="003B3362" w:rsidRPr="0009182C" w:rsidRDefault="003B3362" w:rsidP="003B3362">
      <w:pPr>
        <w:spacing w:after="0" w:line="240" w:lineRule="auto"/>
        <w:contextualSpacing/>
        <w:jc w:val="both"/>
        <w:rPr>
          <w:rFonts w:ascii="Cambria" w:eastAsia="Batang" w:hAnsi="Cambria" w:cs="Calibri Light"/>
          <w:b/>
          <w:color w:val="080808"/>
          <w:lang w:val="es-CO"/>
        </w:rPr>
      </w:pPr>
    </w:p>
    <w:p w14:paraId="78070B13" w14:textId="77777777" w:rsidR="003B3362" w:rsidRDefault="003B3362" w:rsidP="003B3362">
      <w:pPr>
        <w:numPr>
          <w:ilvl w:val="0"/>
          <w:numId w:val="37"/>
        </w:numPr>
        <w:spacing w:after="0" w:line="240" w:lineRule="auto"/>
        <w:ind w:left="1440"/>
        <w:contextualSpacing/>
        <w:rPr>
          <w:rFonts w:ascii="Cambria" w:eastAsia="Batang" w:hAnsi="Cambria"/>
          <w:b/>
          <w:color w:val="080808"/>
          <w:lang w:val="es-CO"/>
        </w:rPr>
      </w:pPr>
      <w:r w:rsidRPr="0009182C">
        <w:rPr>
          <w:rFonts w:ascii="Cambria" w:eastAsia="Batang" w:hAnsi="Cambria"/>
          <w:b/>
          <w:color w:val="080808"/>
          <w:lang w:val="es-CO"/>
        </w:rPr>
        <w:t>ACTIVIDAD PROCESAL</w:t>
      </w:r>
    </w:p>
    <w:p w14:paraId="5D397683" w14:textId="77777777" w:rsidR="00BD6A10" w:rsidRDefault="00BD6A10" w:rsidP="00BD6A10">
      <w:pPr>
        <w:spacing w:after="0" w:line="240" w:lineRule="auto"/>
        <w:ind w:left="720"/>
        <w:contextualSpacing/>
        <w:rPr>
          <w:rFonts w:ascii="Cambria" w:eastAsia="Batang" w:hAnsi="Cambria"/>
          <w:b/>
          <w:color w:val="080808"/>
          <w:lang w:val="es-CO"/>
        </w:rPr>
      </w:pPr>
    </w:p>
    <w:p w14:paraId="4E511713" w14:textId="77777777" w:rsidR="003C4B87" w:rsidRPr="00F42DE5" w:rsidRDefault="003C4B87" w:rsidP="00EF1B6E">
      <w:pPr>
        <w:numPr>
          <w:ilvl w:val="0"/>
          <w:numId w:val="41"/>
        </w:numPr>
        <w:tabs>
          <w:tab w:val="left" w:pos="709"/>
        </w:tabs>
        <w:spacing w:after="0" w:line="240" w:lineRule="auto"/>
        <w:ind w:left="0" w:firstLine="709"/>
        <w:contextualSpacing/>
        <w:jc w:val="both"/>
        <w:rPr>
          <w:rFonts w:ascii="Cambria" w:hAnsi="Cambria" w:cs="Calibri Light"/>
          <w:color w:val="000000"/>
          <w:sz w:val="20"/>
          <w:szCs w:val="20"/>
          <w:lang w:val="es-CO"/>
        </w:rPr>
      </w:pPr>
      <w:r w:rsidRPr="00F42DE5">
        <w:rPr>
          <w:rFonts w:ascii="Cambria" w:hAnsi="Cambria" w:cs="Calibri Light"/>
          <w:color w:val="000000"/>
          <w:sz w:val="20"/>
          <w:szCs w:val="20"/>
          <w:lang w:val="es-CO"/>
        </w:rPr>
        <w:t xml:space="preserve">El 6 de mayo de 2015, las partes firmaron un acuerdo de solución amistosa. </w:t>
      </w:r>
    </w:p>
    <w:p w14:paraId="106F5AAB" w14:textId="77777777" w:rsidR="00B24D5E" w:rsidRPr="00F42DE5" w:rsidRDefault="00B24D5E" w:rsidP="00F42DE5">
      <w:pPr>
        <w:tabs>
          <w:tab w:val="left" w:pos="709"/>
        </w:tabs>
        <w:spacing w:after="0" w:line="240" w:lineRule="auto"/>
        <w:ind w:left="709"/>
        <w:contextualSpacing/>
        <w:jc w:val="both"/>
        <w:rPr>
          <w:rFonts w:ascii="Cambria" w:hAnsi="Cambria" w:cs="Calibri Light"/>
          <w:color w:val="000000"/>
          <w:sz w:val="20"/>
          <w:szCs w:val="20"/>
          <w:lang w:val="es-CO"/>
        </w:rPr>
      </w:pPr>
    </w:p>
    <w:p w14:paraId="67256146" w14:textId="5D4BFECC" w:rsidR="00EF1B6E" w:rsidRPr="00F42DE5" w:rsidRDefault="00C6398B" w:rsidP="00EF1B6E">
      <w:pPr>
        <w:numPr>
          <w:ilvl w:val="0"/>
          <w:numId w:val="41"/>
        </w:numPr>
        <w:tabs>
          <w:tab w:val="left" w:pos="709"/>
        </w:tabs>
        <w:spacing w:after="0" w:line="240" w:lineRule="auto"/>
        <w:ind w:left="0" w:firstLine="709"/>
        <w:contextualSpacing/>
        <w:jc w:val="both"/>
        <w:rPr>
          <w:rFonts w:ascii="Cambria" w:hAnsi="Cambria" w:cs="Calibri Light"/>
          <w:color w:val="000000"/>
          <w:sz w:val="20"/>
          <w:szCs w:val="20"/>
          <w:lang w:val="es-CO"/>
        </w:rPr>
      </w:pPr>
      <w:r w:rsidRPr="00F42DE5">
        <w:rPr>
          <w:rFonts w:ascii="Cambria" w:hAnsi="Cambria" w:cs="Calibri Light"/>
          <w:color w:val="000000"/>
          <w:sz w:val="20"/>
          <w:szCs w:val="20"/>
          <w:lang w:val="es-CO"/>
        </w:rPr>
        <w:t>El 24 de julio de 2015, l</w:t>
      </w:r>
      <w:r w:rsidR="00EF1B6E" w:rsidRPr="00F42DE5">
        <w:rPr>
          <w:rFonts w:ascii="Cambria" w:hAnsi="Cambria" w:cs="Calibri Light"/>
          <w:color w:val="000000"/>
          <w:sz w:val="20"/>
          <w:szCs w:val="20"/>
          <w:lang w:val="es-CO"/>
        </w:rPr>
        <w:t xml:space="preserve">a CIDH </w:t>
      </w:r>
      <w:r w:rsidRPr="00F42DE5">
        <w:rPr>
          <w:rFonts w:ascii="Cambria" w:hAnsi="Cambria" w:cs="Calibri Light"/>
          <w:color w:val="000000"/>
          <w:sz w:val="20"/>
          <w:szCs w:val="20"/>
          <w:lang w:val="es-CO"/>
        </w:rPr>
        <w:t xml:space="preserve">publicó el informe de homologación </w:t>
      </w:r>
      <w:r w:rsidR="00B842E4" w:rsidRPr="00F42DE5">
        <w:rPr>
          <w:rFonts w:ascii="Cambria" w:hAnsi="Cambria" w:cs="Calibri Light"/>
          <w:color w:val="000000"/>
          <w:sz w:val="20"/>
          <w:szCs w:val="20"/>
          <w:lang w:val="es-CO"/>
        </w:rPr>
        <w:t xml:space="preserve">No. </w:t>
      </w:r>
      <w:r w:rsidR="004A5036" w:rsidRPr="00F42DE5">
        <w:rPr>
          <w:rFonts w:ascii="Cambria" w:hAnsi="Cambria" w:cs="Calibri Light"/>
          <w:color w:val="000000"/>
          <w:sz w:val="20"/>
          <w:szCs w:val="20"/>
          <w:lang w:val="es-CO"/>
        </w:rPr>
        <w:t>38/15,</w:t>
      </w:r>
      <w:r w:rsidR="00B24D5E" w:rsidRPr="00F42DE5">
        <w:rPr>
          <w:rFonts w:ascii="Cambria" w:hAnsi="Cambria" w:cs="Calibri Light"/>
          <w:color w:val="000000"/>
          <w:sz w:val="20"/>
          <w:szCs w:val="20"/>
          <w:lang w:val="es-CO"/>
        </w:rPr>
        <w:t xml:space="preserve"> aprobando el acuerdo de solución amistosa.</w:t>
      </w:r>
    </w:p>
    <w:p w14:paraId="14E96C2C" w14:textId="77777777" w:rsidR="00EF1B6E" w:rsidRDefault="00EF1B6E" w:rsidP="00EF1B6E">
      <w:pPr>
        <w:tabs>
          <w:tab w:val="left" w:pos="709"/>
        </w:tabs>
        <w:spacing w:after="0" w:line="240" w:lineRule="auto"/>
        <w:ind w:left="709"/>
        <w:contextualSpacing/>
        <w:jc w:val="both"/>
        <w:rPr>
          <w:rFonts w:ascii="Cambria" w:hAnsi="Cambria" w:cs="Calibri Light"/>
          <w:color w:val="000000"/>
          <w:highlight w:val="yellow"/>
          <w:lang w:val="es-CO"/>
        </w:rPr>
      </w:pPr>
    </w:p>
    <w:p w14:paraId="2064212C" w14:textId="77777777" w:rsidR="00B86EB7" w:rsidRDefault="00B86EB7" w:rsidP="00EF1B6E">
      <w:pPr>
        <w:tabs>
          <w:tab w:val="left" w:pos="709"/>
        </w:tabs>
        <w:spacing w:after="0" w:line="240" w:lineRule="auto"/>
        <w:ind w:left="709"/>
        <w:contextualSpacing/>
        <w:jc w:val="both"/>
        <w:rPr>
          <w:rFonts w:ascii="Cambria" w:hAnsi="Cambria" w:cs="Calibri Light"/>
          <w:color w:val="000000"/>
          <w:highlight w:val="yellow"/>
          <w:lang w:val="es-CO"/>
        </w:rPr>
      </w:pPr>
    </w:p>
    <w:p w14:paraId="054CD58F" w14:textId="77777777" w:rsidR="00B86EB7" w:rsidRDefault="00B86EB7" w:rsidP="00EF1B6E">
      <w:pPr>
        <w:tabs>
          <w:tab w:val="left" w:pos="709"/>
        </w:tabs>
        <w:spacing w:after="0" w:line="240" w:lineRule="auto"/>
        <w:ind w:left="709"/>
        <w:contextualSpacing/>
        <w:jc w:val="both"/>
        <w:rPr>
          <w:rFonts w:ascii="Cambria" w:hAnsi="Cambria" w:cs="Calibri Light"/>
          <w:color w:val="000000"/>
          <w:highlight w:val="yellow"/>
          <w:lang w:val="es-CO"/>
        </w:rPr>
      </w:pPr>
    </w:p>
    <w:p w14:paraId="70933D96" w14:textId="77777777" w:rsidR="00B86EB7" w:rsidRPr="00EF1B6E" w:rsidRDefault="00B86EB7" w:rsidP="00EF1B6E">
      <w:pPr>
        <w:tabs>
          <w:tab w:val="left" w:pos="709"/>
        </w:tabs>
        <w:spacing w:after="0" w:line="240" w:lineRule="auto"/>
        <w:ind w:left="709"/>
        <w:contextualSpacing/>
        <w:jc w:val="both"/>
        <w:rPr>
          <w:rFonts w:ascii="Cambria" w:hAnsi="Cambria" w:cs="Calibri Light"/>
          <w:color w:val="000000"/>
          <w:highlight w:val="yellow"/>
          <w:lang w:val="es-CO"/>
        </w:rPr>
      </w:pPr>
    </w:p>
    <w:p w14:paraId="17FE6AD0" w14:textId="77777777" w:rsidR="00A76D93" w:rsidRPr="00A76D93" w:rsidRDefault="00A76D93" w:rsidP="00A76D93">
      <w:pPr>
        <w:pStyle w:val="ListParagraph"/>
        <w:numPr>
          <w:ilvl w:val="0"/>
          <w:numId w:val="37"/>
        </w:numPr>
        <w:spacing w:after="0" w:line="240" w:lineRule="auto"/>
        <w:ind w:left="0" w:firstLine="709"/>
        <w:jc w:val="both"/>
        <w:rPr>
          <w:rFonts w:ascii="Cambria" w:eastAsia="Batang" w:hAnsi="Cambria" w:cs="Calibri Light"/>
          <w:b/>
          <w:color w:val="080808"/>
          <w:lang w:val="es-CO"/>
        </w:rPr>
      </w:pPr>
      <w:r w:rsidRPr="00A76D93">
        <w:rPr>
          <w:rFonts w:ascii="Cambria" w:eastAsia="Batang" w:hAnsi="Cambria" w:cs="Calibri Light"/>
          <w:b/>
          <w:color w:val="080808"/>
          <w:lang w:val="es-CO"/>
        </w:rPr>
        <w:lastRenderedPageBreak/>
        <w:t>ANÁLISIS DEL CUMPLIMIENTO DE LAS CLÁUSULAS DEL ACUERDO DE SOLUCIÓN AMISTOSA</w:t>
      </w:r>
    </w:p>
    <w:p w14:paraId="67A36B0B" w14:textId="77777777" w:rsidR="003B3362" w:rsidRPr="0009182C" w:rsidRDefault="003B3362" w:rsidP="003B3362">
      <w:pPr>
        <w:spacing w:after="0" w:line="240" w:lineRule="auto"/>
        <w:ind w:left="720"/>
        <w:jc w:val="both"/>
        <w:rPr>
          <w:rFonts w:ascii="Cambria" w:eastAsia="Batang" w:hAnsi="Cambria" w:cs="Calibri Light"/>
          <w:color w:val="080808"/>
          <w:lang w:val="es-CO"/>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2"/>
        <w:gridCol w:w="1701"/>
      </w:tblGrid>
      <w:tr w:rsidR="003B3362" w:rsidRPr="00B86EB7" w14:paraId="14155F16" w14:textId="77777777" w:rsidTr="00F024F0">
        <w:trPr>
          <w:jc w:val="center"/>
        </w:trPr>
        <w:tc>
          <w:tcPr>
            <w:tcW w:w="7632" w:type="dxa"/>
            <w:tcBorders>
              <w:top w:val="single" w:sz="4" w:space="0" w:color="auto"/>
              <w:left w:val="single" w:sz="4" w:space="0" w:color="auto"/>
              <w:bottom w:val="single" w:sz="4" w:space="0" w:color="auto"/>
              <w:right w:val="single" w:sz="4" w:space="0" w:color="auto"/>
            </w:tcBorders>
            <w:shd w:val="clear" w:color="auto" w:fill="D9D9D9"/>
            <w:vAlign w:val="center"/>
          </w:tcPr>
          <w:p w14:paraId="034E74A5" w14:textId="77777777" w:rsidR="003B3362" w:rsidRPr="00F42DE5" w:rsidRDefault="003B3362" w:rsidP="00F024F0">
            <w:pPr>
              <w:tabs>
                <w:tab w:val="center" w:pos="2049"/>
              </w:tabs>
              <w:spacing w:after="0" w:line="240" w:lineRule="auto"/>
              <w:jc w:val="center"/>
              <w:rPr>
                <w:rFonts w:ascii="Cambria" w:eastAsia="Batang" w:hAnsi="Cambria"/>
                <w:b/>
                <w:color w:val="080808"/>
                <w:sz w:val="20"/>
                <w:szCs w:val="20"/>
                <w:lang w:val="es-CO"/>
              </w:rPr>
            </w:pPr>
            <w:r w:rsidRPr="00F42DE5">
              <w:rPr>
                <w:rFonts w:ascii="Cambria" w:eastAsia="Batang" w:hAnsi="Cambria"/>
                <w:b/>
                <w:color w:val="080808"/>
                <w:sz w:val="20"/>
                <w:szCs w:val="20"/>
                <w:lang w:val="es-CO"/>
              </w:rPr>
              <w:t>Cláusula del Acuerdo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3DD83C7" w14:textId="77777777" w:rsidR="003B3362" w:rsidRPr="00F42DE5" w:rsidRDefault="003B3362" w:rsidP="00F024F0">
            <w:pPr>
              <w:spacing w:after="0" w:line="240" w:lineRule="auto"/>
              <w:jc w:val="center"/>
              <w:rPr>
                <w:rFonts w:ascii="Cambria" w:eastAsia="Batang" w:hAnsi="Cambria"/>
                <w:b/>
                <w:color w:val="080808"/>
                <w:sz w:val="20"/>
                <w:szCs w:val="20"/>
                <w:lang w:val="es-CO"/>
              </w:rPr>
            </w:pPr>
            <w:r w:rsidRPr="00F42DE5">
              <w:rPr>
                <w:rFonts w:ascii="Cambria" w:eastAsia="Batang" w:hAnsi="Cambria"/>
                <w:b/>
                <w:color w:val="080808"/>
                <w:sz w:val="20"/>
                <w:szCs w:val="20"/>
                <w:lang w:val="es-CO"/>
              </w:rPr>
              <w:t>Estado de Cumplimiento</w:t>
            </w:r>
          </w:p>
        </w:tc>
      </w:tr>
      <w:tr w:rsidR="00897783" w:rsidRPr="00B86EB7" w14:paraId="16FD6143"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06517C49" w14:textId="4BF331C2" w:rsidR="00897783" w:rsidRPr="00F42DE5" w:rsidRDefault="00897783" w:rsidP="00897783">
            <w:pPr>
              <w:spacing w:after="0" w:line="240" w:lineRule="auto"/>
              <w:jc w:val="both"/>
              <w:rPr>
                <w:rFonts w:ascii="Cambria" w:eastAsia="Batang" w:hAnsi="Cambria"/>
                <w:b/>
                <w:bCs/>
                <w:color w:val="080808"/>
                <w:sz w:val="20"/>
                <w:szCs w:val="20"/>
                <w:lang w:val="es-CO"/>
              </w:rPr>
            </w:pPr>
            <w:r w:rsidRPr="00F42DE5">
              <w:rPr>
                <w:rFonts w:ascii="Cambria" w:eastAsia="Times New Roman" w:hAnsi="Cambria"/>
                <w:b/>
                <w:bCs/>
                <w:color w:val="000000"/>
                <w:kern w:val="36"/>
                <w:sz w:val="20"/>
                <w:szCs w:val="20"/>
                <w:lang w:val="es-CO"/>
              </w:rPr>
              <w:t xml:space="preserve">PRIMERO.- Reconocimiento de responsabilidad. </w:t>
            </w:r>
            <w:r w:rsidRPr="00F42DE5">
              <w:rPr>
                <w:rFonts w:ascii="Cambria" w:eastAsia="Times New Roman" w:hAnsi="Cambria"/>
                <w:bCs/>
                <w:color w:val="000000"/>
                <w:kern w:val="36"/>
                <w:sz w:val="20"/>
                <w:szCs w:val="20"/>
                <w:lang w:val="es-CO"/>
              </w:rPr>
              <w:t>El Estado colombiano reconoce la responsabilidad internacional por la violación de los derechos consagrados en los artículos 4 (derecho a la vida)</w:t>
            </w:r>
            <w:r w:rsidRPr="00F42DE5">
              <w:rPr>
                <w:rFonts w:ascii="Cambria" w:eastAsia="Times New Roman" w:hAnsi="Cambria"/>
                <w:b/>
                <w:bCs/>
                <w:color w:val="000000"/>
                <w:kern w:val="36"/>
                <w:sz w:val="20"/>
                <w:szCs w:val="20"/>
                <w:lang w:val="es-CO"/>
              </w:rPr>
              <w:t xml:space="preserve"> </w:t>
            </w:r>
            <w:r w:rsidRPr="00F42DE5">
              <w:rPr>
                <w:rFonts w:ascii="Cambria" w:eastAsia="Times New Roman" w:hAnsi="Cambria"/>
                <w:color w:val="000000"/>
                <w:kern w:val="36"/>
                <w:sz w:val="20"/>
                <w:szCs w:val="20"/>
                <w:lang w:val="es-CO"/>
              </w:rPr>
              <w:t>[…]</w:t>
            </w:r>
          </w:p>
        </w:tc>
        <w:tc>
          <w:tcPr>
            <w:tcW w:w="1701" w:type="dxa"/>
            <w:tcBorders>
              <w:top w:val="single" w:sz="4" w:space="0" w:color="auto"/>
              <w:left w:val="single" w:sz="4" w:space="0" w:color="auto"/>
              <w:bottom w:val="single" w:sz="4" w:space="0" w:color="auto"/>
              <w:right w:val="single" w:sz="4" w:space="0" w:color="auto"/>
            </w:tcBorders>
            <w:vAlign w:val="center"/>
          </w:tcPr>
          <w:p w14:paraId="7F19AC8C" w14:textId="4BC8CC6C" w:rsidR="00897783" w:rsidRPr="00F42DE5" w:rsidRDefault="00897783" w:rsidP="00897783">
            <w:pPr>
              <w:spacing w:after="0" w:line="240" w:lineRule="auto"/>
              <w:jc w:val="center"/>
              <w:rPr>
                <w:rFonts w:ascii="Cambria" w:eastAsia="Batang" w:hAnsi="Cambria"/>
                <w:b/>
                <w:color w:val="080808"/>
                <w:sz w:val="20"/>
                <w:szCs w:val="20"/>
                <w:lang w:val="es-CO"/>
              </w:rPr>
            </w:pPr>
            <w:r w:rsidRPr="00F42DE5">
              <w:rPr>
                <w:rFonts w:ascii="Cambria" w:hAnsi="Cambria"/>
                <w:b/>
                <w:color w:val="000000"/>
                <w:sz w:val="20"/>
                <w:szCs w:val="20"/>
                <w:lang w:val="es-CO"/>
              </w:rPr>
              <w:t>Cláusula declarativa</w:t>
            </w:r>
          </w:p>
        </w:tc>
      </w:tr>
      <w:tr w:rsidR="00897783" w:rsidRPr="00B86EB7" w14:paraId="591D168B" w14:textId="77777777" w:rsidTr="00F024F0">
        <w:trPr>
          <w:trHeight w:val="269"/>
          <w:jc w:val="center"/>
        </w:trPr>
        <w:tc>
          <w:tcPr>
            <w:tcW w:w="7632" w:type="dxa"/>
            <w:tcBorders>
              <w:top w:val="single" w:sz="4" w:space="0" w:color="auto"/>
              <w:left w:val="single" w:sz="4" w:space="0" w:color="auto"/>
              <w:bottom w:val="single" w:sz="4" w:space="0" w:color="auto"/>
              <w:right w:val="single" w:sz="4" w:space="0" w:color="auto"/>
            </w:tcBorders>
            <w:vAlign w:val="center"/>
          </w:tcPr>
          <w:p w14:paraId="4E025406" w14:textId="77777777" w:rsidR="00897783" w:rsidRPr="00F42DE5" w:rsidRDefault="00897783" w:rsidP="00897783">
            <w:pPr>
              <w:spacing w:after="0" w:line="240" w:lineRule="auto"/>
              <w:jc w:val="both"/>
              <w:rPr>
                <w:rFonts w:ascii="Cambria" w:eastAsia="Batang" w:hAnsi="Cambria"/>
                <w:b/>
                <w:bCs/>
                <w:color w:val="080808"/>
                <w:sz w:val="20"/>
                <w:szCs w:val="20"/>
                <w:lang w:val="es-CO"/>
              </w:rPr>
            </w:pPr>
            <w:r w:rsidRPr="00F42DE5">
              <w:rPr>
                <w:rFonts w:ascii="Cambria" w:eastAsia="Batang" w:hAnsi="Cambria"/>
                <w:b/>
                <w:bCs/>
                <w:color w:val="080808"/>
                <w:sz w:val="20"/>
                <w:szCs w:val="20"/>
                <w:lang w:val="es-CO"/>
              </w:rPr>
              <w:t>SEGUNDA.-  En materia de justicia.</w:t>
            </w:r>
          </w:p>
          <w:p w14:paraId="4A5E4358" w14:textId="77777777" w:rsidR="00897783" w:rsidRPr="00F42DE5" w:rsidRDefault="00897783" w:rsidP="00897783">
            <w:pPr>
              <w:spacing w:after="0" w:line="240" w:lineRule="auto"/>
              <w:jc w:val="both"/>
              <w:rPr>
                <w:rFonts w:ascii="Cambria" w:eastAsia="Batang" w:hAnsi="Cambria"/>
                <w:color w:val="080808"/>
                <w:sz w:val="20"/>
                <w:szCs w:val="20"/>
                <w:lang w:val="es-CO"/>
              </w:rPr>
            </w:pPr>
          </w:p>
          <w:p w14:paraId="3D81FDF4" w14:textId="1D4A66A8" w:rsidR="00897783" w:rsidRPr="00F42DE5" w:rsidRDefault="00897783" w:rsidP="00897783">
            <w:pPr>
              <w:spacing w:after="0" w:line="240" w:lineRule="auto"/>
              <w:jc w:val="both"/>
              <w:rPr>
                <w:rFonts w:ascii="Cambria" w:eastAsia="Times New Roman" w:hAnsi="Cambria"/>
                <w:color w:val="080808"/>
                <w:sz w:val="20"/>
                <w:szCs w:val="20"/>
                <w:lang w:val="es-CO"/>
              </w:rPr>
            </w:pPr>
            <w:r w:rsidRPr="00F42DE5">
              <w:rPr>
                <w:rFonts w:ascii="Cambria" w:eastAsia="Batang" w:hAnsi="Cambria"/>
                <w:color w:val="080808"/>
                <w:sz w:val="20"/>
                <w:szCs w:val="20"/>
                <w:lang w:val="es-CO"/>
              </w:rPr>
              <w:t>Las partes reconocen los avances que han existido en materia de justicia en el presente caso. Sin embargo, el Estado se compromete a continuar con su obligación de investigar, juzgar y sancionar a los responsables de los hechos.</w:t>
            </w:r>
          </w:p>
        </w:tc>
        <w:tc>
          <w:tcPr>
            <w:tcW w:w="1701" w:type="dxa"/>
            <w:tcBorders>
              <w:top w:val="single" w:sz="4" w:space="0" w:color="auto"/>
              <w:left w:val="single" w:sz="4" w:space="0" w:color="auto"/>
              <w:bottom w:val="single" w:sz="4" w:space="0" w:color="auto"/>
              <w:right w:val="single" w:sz="4" w:space="0" w:color="auto"/>
            </w:tcBorders>
            <w:vAlign w:val="center"/>
          </w:tcPr>
          <w:p w14:paraId="3EF85D39" w14:textId="0A50438A" w:rsidR="00897783" w:rsidRPr="00F42DE5" w:rsidRDefault="00897783" w:rsidP="00897783">
            <w:pPr>
              <w:spacing w:after="0" w:line="240" w:lineRule="auto"/>
              <w:jc w:val="center"/>
              <w:rPr>
                <w:rFonts w:ascii="Cambria" w:eastAsia="Batang" w:hAnsi="Cambria"/>
                <w:b/>
                <w:color w:val="080808"/>
                <w:sz w:val="20"/>
                <w:szCs w:val="20"/>
                <w:lang w:val="es-CO"/>
              </w:rPr>
            </w:pPr>
            <w:r w:rsidRPr="00F42DE5">
              <w:rPr>
                <w:rFonts w:ascii="Cambria" w:eastAsia="Batang" w:hAnsi="Cambria"/>
                <w:b/>
                <w:color w:val="080808"/>
                <w:sz w:val="20"/>
                <w:szCs w:val="20"/>
                <w:lang w:val="es-CO"/>
              </w:rPr>
              <w:t>Total</w:t>
            </w:r>
            <w:r w:rsidRPr="00F42DE5">
              <w:rPr>
                <w:rFonts w:ascii="Cambria" w:eastAsia="Batang" w:hAnsi="Cambria"/>
                <w:b/>
                <w:color w:val="080808"/>
                <w:sz w:val="20"/>
                <w:szCs w:val="20"/>
                <w:vertAlign w:val="superscript"/>
                <w:lang w:val="es-CO"/>
              </w:rPr>
              <w:footnoteReference w:id="1"/>
            </w:r>
          </w:p>
        </w:tc>
      </w:tr>
      <w:tr w:rsidR="00897783" w:rsidRPr="00B86EB7" w14:paraId="43178BB7" w14:textId="77777777" w:rsidTr="00F024F0">
        <w:trPr>
          <w:trHeight w:val="994"/>
          <w:jc w:val="center"/>
        </w:trPr>
        <w:tc>
          <w:tcPr>
            <w:tcW w:w="7632" w:type="dxa"/>
            <w:tcBorders>
              <w:top w:val="single" w:sz="4" w:space="0" w:color="auto"/>
              <w:left w:val="single" w:sz="4" w:space="0" w:color="auto"/>
              <w:bottom w:val="single" w:sz="4" w:space="0" w:color="auto"/>
              <w:right w:val="single" w:sz="4" w:space="0" w:color="auto"/>
            </w:tcBorders>
          </w:tcPr>
          <w:p w14:paraId="6BA1DF72" w14:textId="77777777" w:rsidR="00897783" w:rsidRPr="00F42DE5" w:rsidRDefault="00897783" w:rsidP="00897783">
            <w:pPr>
              <w:spacing w:after="0" w:line="240" w:lineRule="auto"/>
              <w:jc w:val="both"/>
              <w:rPr>
                <w:rFonts w:ascii="Cambria" w:eastAsia="Batang" w:hAnsi="Cambria"/>
                <w:b/>
                <w:bCs/>
                <w:color w:val="080808"/>
                <w:sz w:val="20"/>
                <w:szCs w:val="20"/>
                <w:lang w:val="es-CO"/>
              </w:rPr>
            </w:pPr>
            <w:r w:rsidRPr="00F42DE5">
              <w:rPr>
                <w:rFonts w:ascii="Cambria" w:eastAsia="Batang" w:hAnsi="Cambria"/>
                <w:b/>
                <w:bCs/>
                <w:color w:val="080808"/>
                <w:sz w:val="20"/>
                <w:szCs w:val="20"/>
                <w:lang w:val="es-CO"/>
              </w:rPr>
              <w:t>TERCERA.- Medidas de satisfacción y rehabilitación</w:t>
            </w:r>
          </w:p>
          <w:p w14:paraId="3C05F64D" w14:textId="77777777" w:rsidR="00897783" w:rsidRPr="00F42DE5" w:rsidRDefault="00897783" w:rsidP="00897783">
            <w:pPr>
              <w:spacing w:after="0" w:line="240" w:lineRule="auto"/>
              <w:jc w:val="both"/>
              <w:rPr>
                <w:rFonts w:ascii="Cambria" w:eastAsia="Batang" w:hAnsi="Cambria"/>
                <w:color w:val="080808"/>
                <w:sz w:val="20"/>
                <w:szCs w:val="20"/>
                <w:lang w:val="es-CO"/>
              </w:rPr>
            </w:pPr>
            <w:r w:rsidRPr="00F42DE5">
              <w:rPr>
                <w:rFonts w:ascii="Cambria" w:eastAsia="Batang" w:hAnsi="Cambria"/>
                <w:color w:val="080808"/>
                <w:sz w:val="20"/>
                <w:szCs w:val="20"/>
                <w:lang w:val="es-CO"/>
              </w:rPr>
              <w:t>El Estado se compromete a implementar las siguientes medidas de satisfacción:</w:t>
            </w:r>
          </w:p>
          <w:p w14:paraId="4BC6B260" w14:textId="77777777" w:rsidR="00897783" w:rsidRPr="00F42DE5" w:rsidRDefault="00897783" w:rsidP="00E66C1B">
            <w:pPr>
              <w:numPr>
                <w:ilvl w:val="0"/>
                <w:numId w:val="42"/>
              </w:numPr>
              <w:spacing w:after="0" w:line="240" w:lineRule="auto"/>
              <w:ind w:left="0" w:firstLine="28"/>
              <w:jc w:val="both"/>
              <w:rPr>
                <w:rFonts w:ascii="Cambria" w:eastAsia="Batang" w:hAnsi="Cambria"/>
                <w:color w:val="080808"/>
                <w:sz w:val="20"/>
                <w:szCs w:val="20"/>
                <w:lang w:val="es-CO"/>
              </w:rPr>
            </w:pPr>
            <w:r w:rsidRPr="00F42DE5">
              <w:rPr>
                <w:rFonts w:ascii="Cambria" w:eastAsia="Batang" w:hAnsi="Cambria"/>
                <w:color w:val="080808"/>
                <w:sz w:val="20"/>
                <w:szCs w:val="20"/>
                <w:lang w:val="es-CO"/>
              </w:rPr>
              <w:t>Un acto de disculpas públicas en el municipio de Segovia, Departamento de Antioquia, encabezado por un alto funcionario del Gobierno, con la participación de autoridades públicas y los familiares de las víctimas. En el mismo se reconocerá la responsabilidad estatal en los términos establecidos en el presente acuerdo. La presente medida se cumplirá dentro del término de un año contado desde la firma del presente Acuerdo y estará a cargo de la Unidad para la Atención y Reparación Integral a las Víctimas.</w:t>
            </w:r>
          </w:p>
          <w:p w14:paraId="20B5F4E1" w14:textId="77777777" w:rsidR="00897783" w:rsidRPr="00F42DE5" w:rsidRDefault="00897783" w:rsidP="00E66C1B">
            <w:pPr>
              <w:numPr>
                <w:ilvl w:val="0"/>
                <w:numId w:val="42"/>
              </w:numPr>
              <w:spacing w:after="0" w:line="240" w:lineRule="auto"/>
              <w:ind w:left="0" w:firstLine="28"/>
              <w:jc w:val="both"/>
              <w:rPr>
                <w:rFonts w:ascii="Cambria" w:eastAsia="Batang" w:hAnsi="Cambria"/>
                <w:color w:val="080808"/>
                <w:sz w:val="20"/>
                <w:szCs w:val="20"/>
                <w:lang w:val="es-CO"/>
              </w:rPr>
            </w:pPr>
            <w:r w:rsidRPr="00F42DE5">
              <w:rPr>
                <w:rFonts w:ascii="Cambria" w:eastAsia="Batang" w:hAnsi="Cambria"/>
                <w:color w:val="080808"/>
                <w:sz w:val="20"/>
                <w:szCs w:val="20"/>
                <w:lang w:val="es-CO"/>
              </w:rPr>
              <w:t xml:space="preserve">El Estado se compromete a realizar un acompañamiento a las víctimas del presente caso, con el fin de que logren acceso a los planes, programas y proyectos en materia de reparación que ofrece el Estado colombiano mediante el modelo de atención, asistencia y reparación integral de las víctimas implementado por la Unidad para la Atención y Reparación Integral de las Víctimas. Dentro de las acciones implementadas en el marco de esta ruta de reparación integral se brindarán: </w:t>
            </w:r>
          </w:p>
          <w:p w14:paraId="5160AF5D" w14:textId="7F8013B5" w:rsidR="00897783" w:rsidRPr="00F42DE5" w:rsidRDefault="00897783" w:rsidP="00E66C1B">
            <w:pPr>
              <w:spacing w:after="0" w:line="240" w:lineRule="auto"/>
              <w:ind w:firstLine="28"/>
              <w:jc w:val="both"/>
              <w:rPr>
                <w:rFonts w:ascii="Cambria" w:hAnsi="Cambria"/>
                <w:color w:val="080808"/>
                <w:sz w:val="20"/>
                <w:szCs w:val="20"/>
                <w:lang w:val="es-CO"/>
              </w:rPr>
            </w:pPr>
            <w:r w:rsidRPr="00F42DE5">
              <w:rPr>
                <w:rFonts w:ascii="Cambria" w:eastAsia="Batang" w:hAnsi="Cambria"/>
                <w:color w:val="080808"/>
                <w:sz w:val="20"/>
                <w:szCs w:val="20"/>
                <w:lang w:val="es-CO"/>
              </w:rPr>
              <w:t xml:space="preserve">   i) medidas de rehabilitación física, mental, psicosocial, social y;</w:t>
            </w:r>
          </w:p>
        </w:tc>
        <w:tc>
          <w:tcPr>
            <w:tcW w:w="1701" w:type="dxa"/>
            <w:tcBorders>
              <w:top w:val="single" w:sz="4" w:space="0" w:color="auto"/>
              <w:left w:val="single" w:sz="4" w:space="0" w:color="auto"/>
              <w:bottom w:val="single" w:sz="4" w:space="0" w:color="auto"/>
              <w:right w:val="single" w:sz="4" w:space="0" w:color="auto"/>
            </w:tcBorders>
            <w:vAlign w:val="center"/>
          </w:tcPr>
          <w:p w14:paraId="05345117" w14:textId="482F93F1" w:rsidR="00897783" w:rsidRPr="00F42DE5" w:rsidRDefault="00897783" w:rsidP="00897783">
            <w:pPr>
              <w:spacing w:after="0" w:line="240" w:lineRule="auto"/>
              <w:jc w:val="center"/>
              <w:rPr>
                <w:rFonts w:ascii="Cambria" w:eastAsia="Batang" w:hAnsi="Cambria"/>
                <w:b/>
                <w:color w:val="080808"/>
                <w:sz w:val="20"/>
                <w:szCs w:val="20"/>
                <w:lang w:val="es-CO"/>
              </w:rPr>
            </w:pPr>
            <w:r w:rsidRPr="00F42DE5">
              <w:rPr>
                <w:rFonts w:ascii="Cambria" w:eastAsia="Batang" w:hAnsi="Cambria"/>
                <w:b/>
                <w:bCs/>
                <w:color w:val="000000"/>
                <w:sz w:val="20"/>
                <w:szCs w:val="20"/>
                <w:lang w:val="es-CO" w:eastAsia="es-ES_tradnl"/>
              </w:rPr>
              <w:t>Total</w:t>
            </w:r>
            <w:r w:rsidRPr="00F42DE5">
              <w:rPr>
                <w:rFonts w:ascii="Cambria" w:eastAsia="Batang" w:hAnsi="Cambria"/>
                <w:b/>
                <w:bCs/>
                <w:color w:val="000000"/>
                <w:sz w:val="20"/>
                <w:szCs w:val="20"/>
                <w:vertAlign w:val="superscript"/>
                <w:lang w:val="es-CO" w:eastAsia="es-ES_tradnl"/>
              </w:rPr>
              <w:footnoteReference w:id="2"/>
            </w:r>
          </w:p>
        </w:tc>
      </w:tr>
      <w:tr w:rsidR="00897783" w:rsidRPr="00B86EB7" w14:paraId="3EFBC0C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2A1CB548" w14:textId="740A7708" w:rsidR="00897783" w:rsidRPr="00F42DE5" w:rsidRDefault="00E66C1B" w:rsidP="00897783">
            <w:pPr>
              <w:spacing w:after="0" w:line="240" w:lineRule="auto"/>
              <w:jc w:val="both"/>
              <w:rPr>
                <w:rFonts w:ascii="Cambria" w:hAnsi="Cambria"/>
                <w:color w:val="080808"/>
                <w:sz w:val="20"/>
                <w:szCs w:val="20"/>
                <w:lang w:val="es-CO"/>
              </w:rPr>
            </w:pPr>
            <w:r w:rsidRPr="00F42DE5">
              <w:rPr>
                <w:rFonts w:ascii="Cambria" w:hAnsi="Cambria"/>
                <w:bCs/>
                <w:color w:val="080808"/>
                <w:sz w:val="20"/>
                <w:szCs w:val="20"/>
                <w:lang w:val="es-CO"/>
              </w:rPr>
              <w:t>ii) medidas de reparación simbólica como acciones en materia de memoria histórica y conmemoraciones que serán concertadas con las víctimas y sus representantes.</w:t>
            </w:r>
          </w:p>
        </w:tc>
        <w:tc>
          <w:tcPr>
            <w:tcW w:w="1701" w:type="dxa"/>
            <w:tcBorders>
              <w:top w:val="single" w:sz="4" w:space="0" w:color="auto"/>
              <w:left w:val="single" w:sz="4" w:space="0" w:color="auto"/>
              <w:bottom w:val="single" w:sz="4" w:space="0" w:color="auto"/>
              <w:right w:val="single" w:sz="4" w:space="0" w:color="auto"/>
            </w:tcBorders>
            <w:vAlign w:val="center"/>
          </w:tcPr>
          <w:p w14:paraId="2A634FDE" w14:textId="3A2904F6" w:rsidR="00897783" w:rsidRPr="00F42DE5" w:rsidRDefault="00E66C1B" w:rsidP="00897783">
            <w:pPr>
              <w:spacing w:after="0" w:line="240" w:lineRule="auto"/>
              <w:jc w:val="center"/>
              <w:rPr>
                <w:rFonts w:ascii="Cambria" w:eastAsia="Batang" w:hAnsi="Cambria"/>
                <w:b/>
                <w:color w:val="080808"/>
                <w:sz w:val="20"/>
                <w:szCs w:val="20"/>
                <w:lang w:val="es-CO"/>
              </w:rPr>
            </w:pPr>
            <w:r w:rsidRPr="00F42DE5">
              <w:rPr>
                <w:rFonts w:ascii="Cambria" w:eastAsia="Batang" w:hAnsi="Cambria"/>
                <w:b/>
                <w:color w:val="080808"/>
                <w:sz w:val="20"/>
                <w:szCs w:val="20"/>
                <w:lang w:val="es-CO"/>
              </w:rPr>
              <w:t>Total</w:t>
            </w:r>
            <w:r w:rsidRPr="00F42DE5">
              <w:rPr>
                <w:rFonts w:ascii="Cambria" w:eastAsia="Batang" w:hAnsi="Cambria"/>
                <w:b/>
                <w:color w:val="080808"/>
                <w:sz w:val="20"/>
                <w:szCs w:val="20"/>
                <w:vertAlign w:val="superscript"/>
                <w:lang w:val="es-CO"/>
              </w:rPr>
              <w:footnoteReference w:id="3"/>
            </w:r>
          </w:p>
        </w:tc>
      </w:tr>
      <w:tr w:rsidR="00E66C1B" w:rsidRPr="00B86EB7" w14:paraId="4C6B6167"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08859875" w14:textId="77777777" w:rsidR="00E66C1B" w:rsidRPr="00F42DE5" w:rsidRDefault="00E66C1B" w:rsidP="00E66C1B">
            <w:pPr>
              <w:spacing w:after="0" w:line="240" w:lineRule="auto"/>
              <w:jc w:val="both"/>
              <w:rPr>
                <w:rFonts w:ascii="Cambria" w:hAnsi="Cambria"/>
                <w:b/>
                <w:bCs/>
                <w:color w:val="080808"/>
                <w:sz w:val="20"/>
                <w:szCs w:val="20"/>
                <w:lang w:val="es-CO"/>
              </w:rPr>
            </w:pPr>
            <w:r w:rsidRPr="00F42DE5">
              <w:rPr>
                <w:rFonts w:ascii="Cambria" w:hAnsi="Cambria"/>
                <w:b/>
                <w:bCs/>
                <w:color w:val="080808"/>
                <w:sz w:val="20"/>
                <w:szCs w:val="20"/>
                <w:lang w:val="es-CO"/>
              </w:rPr>
              <w:t>CUARTA.-</w:t>
            </w:r>
            <w:r w:rsidRPr="00F42DE5">
              <w:rPr>
                <w:rFonts w:ascii="Cambria" w:hAnsi="Cambria"/>
                <w:bCs/>
                <w:color w:val="080808"/>
                <w:sz w:val="20"/>
                <w:szCs w:val="20"/>
                <w:lang w:val="es-CO"/>
              </w:rPr>
              <w:t xml:space="preserve"> </w:t>
            </w:r>
            <w:r w:rsidRPr="00F42DE5">
              <w:rPr>
                <w:rFonts w:ascii="Cambria" w:hAnsi="Cambria"/>
                <w:b/>
                <w:bCs/>
                <w:color w:val="080808"/>
                <w:sz w:val="20"/>
                <w:szCs w:val="20"/>
                <w:lang w:val="es-CO"/>
              </w:rPr>
              <w:t>Garantías de no repetición</w:t>
            </w:r>
          </w:p>
          <w:p w14:paraId="2E333C47" w14:textId="08367329" w:rsidR="00E66C1B" w:rsidRPr="00F42DE5" w:rsidRDefault="00E66C1B" w:rsidP="00E66C1B">
            <w:pPr>
              <w:spacing w:after="0" w:line="240" w:lineRule="auto"/>
              <w:jc w:val="both"/>
              <w:rPr>
                <w:rFonts w:ascii="Cambria" w:hAnsi="Cambria"/>
                <w:bCs/>
                <w:color w:val="080808"/>
                <w:sz w:val="20"/>
                <w:szCs w:val="20"/>
                <w:lang w:val="es-CO"/>
              </w:rPr>
            </w:pPr>
            <w:r w:rsidRPr="00F42DE5">
              <w:rPr>
                <w:rFonts w:ascii="Cambria" w:hAnsi="Cambria"/>
                <w:bCs/>
                <w:color w:val="080808"/>
                <w:sz w:val="20"/>
                <w:szCs w:val="20"/>
                <w:lang w:val="es-CO"/>
              </w:rPr>
              <w:t>El Estado colombiano se compromete a continuar con los programas de educación en derechos humanos y derecho internacional humanitario dentro de las fuerzas armadas colombianas. Asimismo, se compromete a incluir los hechos de la presente petición como tema de estudio y análisis en los eventos de capacitación extracurricular en materia de derechos humanos en las diferentes escuelas de formación y capacitación.</w:t>
            </w:r>
          </w:p>
        </w:tc>
        <w:tc>
          <w:tcPr>
            <w:tcW w:w="1701" w:type="dxa"/>
            <w:tcBorders>
              <w:top w:val="single" w:sz="4" w:space="0" w:color="auto"/>
              <w:left w:val="single" w:sz="4" w:space="0" w:color="auto"/>
              <w:bottom w:val="single" w:sz="4" w:space="0" w:color="auto"/>
              <w:right w:val="single" w:sz="4" w:space="0" w:color="auto"/>
            </w:tcBorders>
            <w:vAlign w:val="center"/>
          </w:tcPr>
          <w:p w14:paraId="7E9C4761" w14:textId="35451D66" w:rsidR="00E66C1B" w:rsidRPr="00F42DE5" w:rsidRDefault="00E66C1B" w:rsidP="00897783">
            <w:pPr>
              <w:spacing w:after="0" w:line="240" w:lineRule="auto"/>
              <w:jc w:val="center"/>
              <w:rPr>
                <w:rFonts w:ascii="Cambria" w:eastAsia="Batang" w:hAnsi="Cambria"/>
                <w:b/>
                <w:color w:val="080808"/>
                <w:sz w:val="20"/>
                <w:szCs w:val="20"/>
                <w:lang w:val="es-CO"/>
              </w:rPr>
            </w:pPr>
            <w:r w:rsidRPr="00F42DE5">
              <w:rPr>
                <w:rFonts w:ascii="Cambria" w:eastAsia="Batang" w:hAnsi="Cambria"/>
                <w:b/>
                <w:color w:val="080808"/>
                <w:sz w:val="20"/>
                <w:szCs w:val="20"/>
                <w:lang w:val="es-CO"/>
              </w:rPr>
              <w:t>Total</w:t>
            </w:r>
            <w:r w:rsidRPr="00F42DE5">
              <w:rPr>
                <w:rFonts w:ascii="Cambria" w:eastAsia="Batang" w:hAnsi="Cambria"/>
                <w:b/>
                <w:color w:val="080808"/>
                <w:sz w:val="20"/>
                <w:szCs w:val="20"/>
                <w:vertAlign w:val="superscript"/>
                <w:lang w:val="es-CO"/>
              </w:rPr>
              <w:footnoteReference w:id="4"/>
            </w:r>
          </w:p>
        </w:tc>
      </w:tr>
      <w:tr w:rsidR="00E66C1B" w:rsidRPr="00B86EB7" w14:paraId="54877AA4" w14:textId="77777777" w:rsidTr="00F024F0">
        <w:trPr>
          <w:trHeight w:val="557"/>
          <w:jc w:val="center"/>
        </w:trPr>
        <w:tc>
          <w:tcPr>
            <w:tcW w:w="7632" w:type="dxa"/>
            <w:tcBorders>
              <w:top w:val="single" w:sz="4" w:space="0" w:color="auto"/>
              <w:left w:val="single" w:sz="4" w:space="0" w:color="auto"/>
              <w:bottom w:val="single" w:sz="4" w:space="0" w:color="auto"/>
              <w:right w:val="single" w:sz="4" w:space="0" w:color="auto"/>
            </w:tcBorders>
            <w:vAlign w:val="center"/>
          </w:tcPr>
          <w:p w14:paraId="4DB5C48A" w14:textId="77777777" w:rsidR="00E66C1B" w:rsidRPr="00F42DE5" w:rsidRDefault="00E66C1B" w:rsidP="00E66C1B">
            <w:pPr>
              <w:spacing w:after="0" w:line="240" w:lineRule="auto"/>
              <w:jc w:val="both"/>
              <w:rPr>
                <w:rFonts w:ascii="Cambria" w:hAnsi="Cambria"/>
                <w:b/>
                <w:bCs/>
                <w:color w:val="080808"/>
                <w:sz w:val="20"/>
                <w:szCs w:val="20"/>
                <w:lang w:val="es-CO"/>
              </w:rPr>
            </w:pPr>
            <w:r w:rsidRPr="00F42DE5">
              <w:rPr>
                <w:rFonts w:ascii="Cambria" w:hAnsi="Cambria"/>
                <w:b/>
                <w:bCs/>
                <w:color w:val="080808"/>
                <w:sz w:val="20"/>
                <w:szCs w:val="20"/>
                <w:lang w:val="es-CO"/>
              </w:rPr>
              <w:t>QUINTA. - Reparación Pecuniaria.</w:t>
            </w:r>
          </w:p>
          <w:p w14:paraId="46D53129" w14:textId="5141B035" w:rsidR="00E66C1B" w:rsidRPr="00F42DE5" w:rsidRDefault="00E66C1B" w:rsidP="00E66C1B">
            <w:pPr>
              <w:spacing w:after="0" w:line="240" w:lineRule="auto"/>
              <w:jc w:val="both"/>
              <w:rPr>
                <w:rFonts w:ascii="Cambria" w:hAnsi="Cambria"/>
                <w:color w:val="080808"/>
                <w:sz w:val="20"/>
                <w:szCs w:val="20"/>
                <w:lang w:val="es-CO"/>
              </w:rPr>
            </w:pPr>
            <w:r w:rsidRPr="00F42DE5">
              <w:rPr>
                <w:rFonts w:ascii="Cambria" w:hAnsi="Cambria"/>
                <w:color w:val="080808"/>
                <w:sz w:val="20"/>
                <w:szCs w:val="20"/>
                <w:lang w:val="es-CO"/>
              </w:rPr>
              <w:t xml:space="preserve">El Estado se compromete a dar aplicación a la Ley 288 de 1996 una vez se homologue el presente acuerdo de solución amistosa mediante la expedición del informe de artículo 49 de la CADH, con el propósito de reparar los perjuicios morales o materiales que llegaran a probarse a favor de los familiares directos de las víctimas, que acrediten su </w:t>
            </w:r>
            <w:r w:rsidRPr="00F42DE5">
              <w:rPr>
                <w:rFonts w:ascii="Cambria" w:hAnsi="Cambria"/>
                <w:color w:val="080808"/>
                <w:sz w:val="20"/>
                <w:szCs w:val="20"/>
                <w:lang w:val="es-CO"/>
              </w:rPr>
              <w:lastRenderedPageBreak/>
              <w:t>legitimidad y que no hayan sido indemnizados a través de la Jurisdicción Contencioso Administrativa.</w:t>
            </w:r>
          </w:p>
        </w:tc>
        <w:tc>
          <w:tcPr>
            <w:tcW w:w="1701" w:type="dxa"/>
            <w:tcBorders>
              <w:top w:val="single" w:sz="4" w:space="0" w:color="auto"/>
              <w:left w:val="single" w:sz="4" w:space="0" w:color="auto"/>
              <w:bottom w:val="single" w:sz="4" w:space="0" w:color="auto"/>
              <w:right w:val="single" w:sz="4" w:space="0" w:color="auto"/>
            </w:tcBorders>
            <w:vAlign w:val="center"/>
          </w:tcPr>
          <w:p w14:paraId="7BCBCD14" w14:textId="00B0AFDB" w:rsidR="00E66C1B" w:rsidRPr="00F42DE5" w:rsidRDefault="00E66C1B" w:rsidP="00897783">
            <w:pPr>
              <w:spacing w:after="0" w:line="240" w:lineRule="auto"/>
              <w:jc w:val="center"/>
              <w:rPr>
                <w:rFonts w:ascii="Cambria" w:eastAsia="Batang" w:hAnsi="Cambria"/>
                <w:b/>
                <w:color w:val="080808"/>
                <w:sz w:val="20"/>
                <w:szCs w:val="20"/>
                <w:lang w:val="es-CO"/>
              </w:rPr>
            </w:pPr>
            <w:r w:rsidRPr="00F42DE5">
              <w:rPr>
                <w:rFonts w:ascii="Cambria" w:eastAsia="Batang" w:hAnsi="Cambria"/>
                <w:b/>
                <w:color w:val="080808"/>
                <w:sz w:val="20"/>
                <w:szCs w:val="20"/>
                <w:lang w:val="es-CO"/>
              </w:rPr>
              <w:lastRenderedPageBreak/>
              <w:t>Total</w:t>
            </w:r>
            <w:r w:rsidRPr="00F42DE5">
              <w:rPr>
                <w:rStyle w:val="FootnoteReference"/>
                <w:rFonts w:ascii="Cambria" w:eastAsia="Batang" w:hAnsi="Cambria"/>
                <w:b/>
                <w:color w:val="080808"/>
                <w:sz w:val="20"/>
                <w:szCs w:val="20"/>
                <w:lang w:val="es-CO"/>
              </w:rPr>
              <w:footnoteReference w:id="5"/>
            </w:r>
          </w:p>
        </w:tc>
      </w:tr>
    </w:tbl>
    <w:p w14:paraId="4E918129" w14:textId="77777777" w:rsidR="000F6AC8" w:rsidRDefault="000F6AC8" w:rsidP="000F6AC8">
      <w:pPr>
        <w:autoSpaceDE w:val="0"/>
        <w:autoSpaceDN w:val="0"/>
        <w:adjustRightInd w:val="0"/>
        <w:spacing w:after="0" w:line="240" w:lineRule="auto"/>
        <w:ind w:left="720"/>
        <w:jc w:val="both"/>
        <w:rPr>
          <w:rFonts w:ascii="Cambria" w:eastAsia="Batang" w:hAnsi="Cambria" w:cs="Calibri Light"/>
          <w:b/>
          <w:color w:val="080808"/>
          <w:lang w:val="es-CO"/>
        </w:rPr>
      </w:pPr>
    </w:p>
    <w:p w14:paraId="0F7D1CEB" w14:textId="6A72BB8A" w:rsidR="003B3362" w:rsidRPr="0009182C" w:rsidRDefault="003B3362" w:rsidP="003B3362">
      <w:pPr>
        <w:numPr>
          <w:ilvl w:val="0"/>
          <w:numId w:val="37"/>
        </w:numPr>
        <w:autoSpaceDE w:val="0"/>
        <w:autoSpaceDN w:val="0"/>
        <w:adjustRightInd w:val="0"/>
        <w:spacing w:after="0" w:line="240" w:lineRule="auto"/>
        <w:ind w:left="0" w:firstLine="720"/>
        <w:jc w:val="both"/>
        <w:rPr>
          <w:rFonts w:ascii="Cambria" w:eastAsia="Batang" w:hAnsi="Cambria" w:cs="Calibri Light"/>
          <w:b/>
          <w:color w:val="080808"/>
          <w:lang w:val="es-CO"/>
        </w:rPr>
      </w:pPr>
      <w:r w:rsidRPr="0009182C">
        <w:rPr>
          <w:rFonts w:ascii="Cambria" w:eastAsia="Batang" w:hAnsi="Cambria" w:cs="Calibri Light"/>
          <w:b/>
          <w:color w:val="080808"/>
          <w:lang w:val="es-CO"/>
        </w:rPr>
        <w:t>NIVEL DE CUMPLIMIENTO DEL CASO</w:t>
      </w:r>
    </w:p>
    <w:p w14:paraId="4DCB2BAD" w14:textId="77777777" w:rsidR="003B3362" w:rsidRPr="0009182C" w:rsidRDefault="003B3362" w:rsidP="003B3362">
      <w:pPr>
        <w:spacing w:after="0" w:line="240" w:lineRule="auto"/>
        <w:ind w:firstLine="720"/>
        <w:jc w:val="both"/>
        <w:rPr>
          <w:rFonts w:ascii="Cambria" w:eastAsia="Batang" w:hAnsi="Cambria" w:cs="Calibri Light"/>
          <w:color w:val="080808"/>
          <w:lang w:val="es-CO"/>
        </w:rPr>
      </w:pPr>
    </w:p>
    <w:p w14:paraId="0657708E" w14:textId="362337AE" w:rsidR="003B3362" w:rsidRPr="00F42DE5" w:rsidRDefault="003B3362" w:rsidP="00F42DE5">
      <w:pPr>
        <w:pStyle w:val="ListParagraph"/>
        <w:numPr>
          <w:ilvl w:val="0"/>
          <w:numId w:val="41"/>
        </w:numPr>
        <w:spacing w:after="0" w:line="240" w:lineRule="auto"/>
        <w:ind w:left="0" w:firstLine="720"/>
        <w:jc w:val="both"/>
        <w:rPr>
          <w:rFonts w:ascii="Cambria" w:hAnsi="Cambria"/>
          <w:color w:val="080808"/>
          <w:sz w:val="20"/>
          <w:szCs w:val="20"/>
          <w:lang w:val="es-CO"/>
        </w:rPr>
      </w:pPr>
      <w:r w:rsidRPr="00F42DE5">
        <w:rPr>
          <w:rFonts w:ascii="Cambria" w:hAnsi="Cambria"/>
          <w:color w:val="080808"/>
          <w:sz w:val="20"/>
          <w:szCs w:val="20"/>
          <w:lang w:val="es-CO"/>
        </w:rPr>
        <w:t>La Comisión declaró el cumplimiento total del asunto y el cese del seguimiento del acuerdo de solución amistosa en el Informe Anual de 202</w:t>
      </w:r>
      <w:r w:rsidR="000F6AC8" w:rsidRPr="00F42DE5">
        <w:rPr>
          <w:rFonts w:ascii="Cambria" w:hAnsi="Cambria"/>
          <w:color w:val="080808"/>
          <w:sz w:val="20"/>
          <w:szCs w:val="20"/>
          <w:lang w:val="es-CO"/>
        </w:rPr>
        <w:t>3</w:t>
      </w:r>
      <w:r w:rsidRPr="00F42DE5">
        <w:rPr>
          <w:rFonts w:ascii="Cambria" w:hAnsi="Cambria"/>
          <w:color w:val="080808"/>
          <w:sz w:val="20"/>
          <w:szCs w:val="20"/>
          <w:lang w:val="es-CO"/>
        </w:rPr>
        <w:t>.</w:t>
      </w:r>
    </w:p>
    <w:p w14:paraId="6385AFDB" w14:textId="77777777" w:rsidR="003B3362" w:rsidRPr="0009182C" w:rsidRDefault="003B3362" w:rsidP="003B3362">
      <w:pPr>
        <w:spacing w:after="0" w:line="240" w:lineRule="auto"/>
        <w:ind w:firstLine="720"/>
        <w:jc w:val="both"/>
        <w:rPr>
          <w:rFonts w:ascii="Cambria" w:eastAsia="Batang" w:hAnsi="Cambria" w:cs="Calibri Light"/>
          <w:b/>
          <w:color w:val="080808"/>
          <w:lang w:val="es-CO"/>
        </w:rPr>
      </w:pPr>
    </w:p>
    <w:p w14:paraId="1AB84E36" w14:textId="77777777" w:rsidR="003B3362" w:rsidRPr="0009182C" w:rsidRDefault="003B3362" w:rsidP="003B3362">
      <w:pPr>
        <w:numPr>
          <w:ilvl w:val="0"/>
          <w:numId w:val="37"/>
        </w:numPr>
        <w:spacing w:after="0" w:line="240" w:lineRule="auto"/>
        <w:ind w:left="0" w:firstLine="720"/>
        <w:contextualSpacing/>
        <w:jc w:val="both"/>
        <w:rPr>
          <w:rFonts w:ascii="Cambria" w:eastAsia="Batang" w:hAnsi="Cambria" w:cs="Calibri Light"/>
          <w:b/>
          <w:color w:val="080808"/>
          <w:lang w:val="es-CO"/>
        </w:rPr>
      </w:pPr>
      <w:r w:rsidRPr="0009182C">
        <w:rPr>
          <w:rFonts w:ascii="Cambria" w:eastAsia="Batang" w:hAnsi="Cambria" w:cs="Calibri Light"/>
          <w:b/>
          <w:color w:val="080808"/>
          <w:lang w:val="es-CO"/>
        </w:rPr>
        <w:t xml:space="preserve">RESULTADOS INDIVIDUALES Y ESTRUCTURALES DEL CASO </w:t>
      </w:r>
    </w:p>
    <w:p w14:paraId="2B9D2571" w14:textId="77777777" w:rsidR="003B3362" w:rsidRPr="0009182C" w:rsidRDefault="003B3362" w:rsidP="003B3362">
      <w:pPr>
        <w:spacing w:after="0" w:line="240" w:lineRule="auto"/>
        <w:ind w:firstLine="720"/>
        <w:contextualSpacing/>
        <w:jc w:val="both"/>
        <w:rPr>
          <w:rFonts w:ascii="Cambria" w:eastAsia="Batang" w:hAnsi="Cambria" w:cs="Calibri Light"/>
          <w:b/>
          <w:color w:val="080808"/>
          <w:lang w:val="es-CO"/>
        </w:rPr>
      </w:pPr>
    </w:p>
    <w:p w14:paraId="46B21FE4" w14:textId="77777777" w:rsidR="003B3362" w:rsidRPr="00F42DE5" w:rsidRDefault="003B3362" w:rsidP="005A1DFD">
      <w:pPr>
        <w:numPr>
          <w:ilvl w:val="1"/>
          <w:numId w:val="37"/>
        </w:numPr>
        <w:spacing w:after="0" w:line="240" w:lineRule="auto"/>
        <w:ind w:left="1560" w:hanging="840"/>
        <w:contextualSpacing/>
        <w:jc w:val="both"/>
        <w:rPr>
          <w:rFonts w:ascii="Cambria" w:eastAsia="Batang" w:hAnsi="Cambria" w:cs="Calibri Light"/>
          <w:b/>
          <w:color w:val="080808"/>
          <w:sz w:val="20"/>
          <w:szCs w:val="20"/>
          <w:lang w:val="es-CO"/>
        </w:rPr>
      </w:pPr>
      <w:r w:rsidRPr="00F42DE5">
        <w:rPr>
          <w:rFonts w:ascii="Cambria" w:eastAsia="Batang" w:hAnsi="Cambria" w:cs="Calibri Light"/>
          <w:b/>
          <w:color w:val="080808"/>
          <w:sz w:val="20"/>
          <w:szCs w:val="20"/>
          <w:lang w:val="es-CO"/>
        </w:rPr>
        <w:t>Resultados individuales del caso</w:t>
      </w:r>
    </w:p>
    <w:p w14:paraId="3A7E3E60" w14:textId="77777777" w:rsidR="003B3362" w:rsidRPr="00F42DE5" w:rsidRDefault="003B3362" w:rsidP="005A1DFD">
      <w:pPr>
        <w:spacing w:after="0" w:line="240" w:lineRule="auto"/>
        <w:ind w:left="1560" w:hanging="840"/>
        <w:contextualSpacing/>
        <w:jc w:val="both"/>
        <w:rPr>
          <w:rFonts w:ascii="Cambria" w:eastAsia="Batang" w:hAnsi="Cambria" w:cs="Calibri Light"/>
          <w:b/>
          <w:color w:val="080808"/>
          <w:sz w:val="20"/>
          <w:szCs w:val="20"/>
          <w:lang w:val="es-CO"/>
        </w:rPr>
      </w:pPr>
    </w:p>
    <w:p w14:paraId="75B01CB3"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El Estado realizó el reconocimiento de la responsabilidad internacional del Estado colombiano por la omisión de garantizar los derechos a la vida y a la integridad personal establecidos en la Convención Americana sobre Derechos Humanos en relación con las víctimas fallecidas durante los hechos sucedidos en la masacre, así como en relación con las víctimas que resultaron lesionadas.</w:t>
      </w:r>
    </w:p>
    <w:p w14:paraId="004A005C"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Se realizaron las acciones de investigación, juzgamiento y condena de 5 militares y 4 civiles a penas de entre 18 y 26 años de privación de la libertad y multas de entre 98 y 140 Salarios Mínimos Legales Mensuales Vigentes (SMLMV), como responsables penales de la misma.</w:t>
      </w:r>
    </w:p>
    <w:p w14:paraId="31FC6A2B"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Se realizaron jornadas de orientación a los beneficiarios el 1 y 3 de julio de 2015 en Segovia y Medellín; y del acuerdo entre las partes sobre el contenido; y la fecha del acto de reconocimiento de responsabilidad, así como de las fechas y contenidos de las capacitaciones a funcionarios de la Fuerza Pública.</w:t>
      </w:r>
    </w:p>
    <w:p w14:paraId="3B81B58F"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 xml:space="preserve">Se realizó el acto de disculpas </w:t>
      </w:r>
      <w:r w:rsidRPr="00F42DE5">
        <w:rPr>
          <w:rFonts w:ascii="Cambria" w:eastAsia="Batang" w:hAnsi="Cambria" w:cs="Calibri Light"/>
          <w:bCs/>
          <w:color w:val="080808"/>
          <w:sz w:val="20"/>
          <w:szCs w:val="20"/>
          <w:lang w:val="es-CO"/>
        </w:rPr>
        <w:t>públicas en el municipio de Segovia, Departamento de Antioquia, encabezado por un alto funcionario del Gobierno, con la participación de autoridades y los familiares de las víctimas.</w:t>
      </w:r>
    </w:p>
    <w:p w14:paraId="7A1F112D"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En relación con las medidas de satisfacción y rehabilitación, puntualmente frente a las medidas de rehabilitación física, mental y psicosocial, se han implementado a través del Programa de Atención Psicosocial y Salud Integral a Víctimas (PAPSIVI), el cual se encuentra a cargo del Ministerio de Salud y Protección Social.</w:t>
      </w:r>
    </w:p>
    <w:p w14:paraId="14E2F093"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El Estado realizó el pago correspondiente a la reparación pecuniaria en beneficio de 197 víctimas.</w:t>
      </w:r>
    </w:p>
    <w:p w14:paraId="6133E93A"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El Estado realizó el pago correspondiente a la reparación pecuniaria en beneficio de más de 90% de los beneficiarios del acuerdo por un monto total de $ 550.480.848.94 de pesos (quinientos cincuenta millones cuatrocientos ochenta mil ochocientos cuarenta y ocho pesos con noventa y cuatro centavos).</w:t>
      </w:r>
    </w:p>
    <w:p w14:paraId="1F874E42"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El Estado ha realizado acciones de investigación, juzgamiento y condena de 11 ex miembros de la Fuerza Pública, a 11 miembros de la Autodefensas Unidas de Colombia y a 1 civil (exrepresentante a la Cámara). De los 23 procesados, 14 fueron condenados y 1 absuelto, el coronel Hernando Navas Rubio obtuvo sentencia absolutoria confirmada por el Tribunal Superior de Antioquia.</w:t>
      </w:r>
    </w:p>
    <w:p w14:paraId="24D1FAF1"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iCs/>
          <w:color w:val="080808"/>
          <w:sz w:val="20"/>
          <w:szCs w:val="20"/>
          <w:lang w:val="es-CO"/>
        </w:rPr>
        <w:t>El 17 de abril de 2020, se llevó a cabo la segunda jornada de orientación a las víctimas en el marco de su inscripción en el Registro Único de Víctimas.</w:t>
      </w:r>
    </w:p>
    <w:p w14:paraId="2694B589" w14:textId="77777777" w:rsidR="00E66C1B" w:rsidRPr="00F42DE5" w:rsidRDefault="00E66C1B" w:rsidP="005A1DFD">
      <w:pPr>
        <w:numPr>
          <w:ilvl w:val="0"/>
          <w:numId w:val="16"/>
        </w:numPr>
        <w:tabs>
          <w:tab w:val="left" w:pos="0"/>
        </w:tabs>
        <w:spacing w:after="0" w:line="240" w:lineRule="auto"/>
        <w:ind w:left="1418" w:hanging="698"/>
        <w:contextualSpacing/>
        <w:jc w:val="both"/>
        <w:rPr>
          <w:rFonts w:ascii="Cambria" w:eastAsia="Batang" w:hAnsi="Cambria" w:cs="Calibri Light"/>
          <w:color w:val="080808"/>
          <w:sz w:val="20"/>
          <w:szCs w:val="20"/>
          <w:lang w:val="es-CO"/>
        </w:rPr>
      </w:pPr>
      <w:r w:rsidRPr="00F42DE5">
        <w:rPr>
          <w:rFonts w:ascii="Cambria" w:eastAsia="Batang" w:hAnsi="Cambria" w:cs="Calibri Light"/>
          <w:color w:val="080808"/>
          <w:sz w:val="20"/>
          <w:szCs w:val="20"/>
          <w:lang w:val="es-CO"/>
        </w:rPr>
        <w:t>El Estado realizó el pago de la reparación económica, por un total de dos mil trescientos setenta millones quinientos cuarenta y nueve mil cuarenta y dos pesos con 81/100 M/CTE. ($2.370.549.042.81) a favor de 32 beneficiarios.</w:t>
      </w:r>
    </w:p>
    <w:p w14:paraId="635DC6B1" w14:textId="77777777" w:rsidR="003B3362" w:rsidRPr="00F42DE5" w:rsidRDefault="003B3362" w:rsidP="003B3362">
      <w:pPr>
        <w:tabs>
          <w:tab w:val="left" w:pos="0"/>
        </w:tabs>
        <w:spacing w:after="0" w:line="240" w:lineRule="auto"/>
        <w:ind w:left="720"/>
        <w:contextualSpacing/>
        <w:jc w:val="both"/>
        <w:rPr>
          <w:rFonts w:ascii="Cambria" w:hAnsi="Cambria"/>
          <w:color w:val="080808"/>
          <w:sz w:val="20"/>
          <w:szCs w:val="20"/>
          <w:lang w:val="es-CO"/>
        </w:rPr>
      </w:pPr>
    </w:p>
    <w:p w14:paraId="1F9C60CD" w14:textId="77777777" w:rsidR="003B3362" w:rsidRPr="00F42DE5" w:rsidRDefault="003B3362" w:rsidP="003B3362">
      <w:pPr>
        <w:numPr>
          <w:ilvl w:val="1"/>
          <w:numId w:val="37"/>
        </w:numPr>
        <w:spacing w:after="0" w:line="240" w:lineRule="auto"/>
        <w:ind w:left="0" w:firstLine="720"/>
        <w:contextualSpacing/>
        <w:jc w:val="both"/>
        <w:rPr>
          <w:rFonts w:ascii="Cambria" w:eastAsia="Batang" w:hAnsi="Cambria" w:cs="Calibri Light"/>
          <w:b/>
          <w:color w:val="080808"/>
          <w:sz w:val="20"/>
          <w:szCs w:val="20"/>
          <w:lang w:val="es-CO"/>
        </w:rPr>
      </w:pPr>
      <w:r w:rsidRPr="00F42DE5">
        <w:rPr>
          <w:rFonts w:ascii="Cambria" w:eastAsia="Batang" w:hAnsi="Cambria" w:cs="Calibri Light"/>
          <w:b/>
          <w:color w:val="080808"/>
          <w:sz w:val="20"/>
          <w:szCs w:val="20"/>
          <w:lang w:val="es-CO"/>
        </w:rPr>
        <w:t>Resultados estructurales del caso</w:t>
      </w:r>
    </w:p>
    <w:p w14:paraId="4D3A4C8C" w14:textId="77777777" w:rsidR="003B3362" w:rsidRPr="00F42DE5" w:rsidRDefault="003B3362" w:rsidP="003B3362">
      <w:pPr>
        <w:tabs>
          <w:tab w:val="left" w:pos="0"/>
        </w:tabs>
        <w:spacing w:after="0" w:line="240" w:lineRule="auto"/>
        <w:contextualSpacing/>
        <w:jc w:val="both"/>
        <w:rPr>
          <w:rFonts w:ascii="Cambria" w:eastAsia="Batang" w:hAnsi="Cambria" w:cs="Calibri Light"/>
          <w:color w:val="080808"/>
          <w:sz w:val="20"/>
          <w:szCs w:val="20"/>
          <w:lang w:val="es-CO"/>
        </w:rPr>
      </w:pPr>
    </w:p>
    <w:p w14:paraId="5ADC30B5" w14:textId="77777777" w:rsidR="00E66C1B" w:rsidRPr="00F42DE5" w:rsidRDefault="00E66C1B" w:rsidP="005A1DFD">
      <w:pPr>
        <w:numPr>
          <w:ilvl w:val="0"/>
          <w:numId w:val="43"/>
        </w:numPr>
        <w:spacing w:after="0" w:line="240" w:lineRule="auto"/>
        <w:ind w:left="1418" w:hanging="698"/>
        <w:jc w:val="both"/>
        <w:rPr>
          <w:rFonts w:ascii="Cambria" w:hAnsi="Cambria"/>
          <w:color w:val="000000"/>
          <w:sz w:val="20"/>
          <w:szCs w:val="20"/>
          <w:lang w:val="es-CO"/>
        </w:rPr>
      </w:pPr>
      <w:r w:rsidRPr="00F42DE5">
        <w:rPr>
          <w:rFonts w:ascii="Cambria" w:hAnsi="Cambria"/>
          <w:color w:val="000000"/>
          <w:sz w:val="20"/>
          <w:szCs w:val="20"/>
          <w:lang w:val="es-CO"/>
        </w:rPr>
        <w:t xml:space="preserve">El Estado implementó 5 jornadas de capacitación dirigidas al personal de la fuerza pública con el contenido del marco fáctico de caso. </w:t>
      </w:r>
    </w:p>
    <w:p w14:paraId="4C45780E" w14:textId="77777777" w:rsidR="00E66C1B" w:rsidRPr="00F42DE5" w:rsidRDefault="00E66C1B" w:rsidP="005A1DFD">
      <w:pPr>
        <w:numPr>
          <w:ilvl w:val="0"/>
          <w:numId w:val="43"/>
        </w:numPr>
        <w:spacing w:after="0" w:line="240" w:lineRule="auto"/>
        <w:ind w:left="1418" w:right="-270" w:hanging="698"/>
        <w:jc w:val="both"/>
        <w:rPr>
          <w:rFonts w:ascii="Cambria" w:eastAsia="Batang" w:hAnsi="Cambria"/>
          <w:b/>
          <w:color w:val="000000"/>
          <w:sz w:val="20"/>
          <w:szCs w:val="20"/>
          <w:lang w:val="es-CO"/>
        </w:rPr>
      </w:pPr>
      <w:r w:rsidRPr="00F42DE5">
        <w:rPr>
          <w:rFonts w:ascii="Cambria" w:hAnsi="Cambria"/>
          <w:iCs/>
          <w:color w:val="000000"/>
          <w:sz w:val="20"/>
          <w:szCs w:val="20"/>
          <w:lang w:val="es-CO"/>
        </w:rPr>
        <w:lastRenderedPageBreak/>
        <w:t>El Estado instaló de manera permanente un Infograma sobre los hechos de la masacre en la sala central del Museo de la Memoria</w:t>
      </w:r>
      <w:r w:rsidRPr="00F42DE5">
        <w:rPr>
          <w:rFonts w:ascii="Cambria" w:hAnsi="Cambria"/>
          <w:color w:val="000000"/>
          <w:sz w:val="20"/>
          <w:szCs w:val="20"/>
          <w:lang w:val="es-CO"/>
        </w:rPr>
        <w:t>.</w:t>
      </w:r>
    </w:p>
    <w:p w14:paraId="201B84EF" w14:textId="77777777" w:rsidR="00E66C1B" w:rsidRPr="00F42DE5" w:rsidRDefault="00E66C1B" w:rsidP="005A1DFD">
      <w:pPr>
        <w:numPr>
          <w:ilvl w:val="0"/>
          <w:numId w:val="43"/>
        </w:numPr>
        <w:spacing w:after="0" w:line="240" w:lineRule="auto"/>
        <w:ind w:left="1418" w:right="-270" w:hanging="698"/>
        <w:jc w:val="both"/>
        <w:rPr>
          <w:rFonts w:ascii="Cambria" w:eastAsia="Batang" w:hAnsi="Cambria"/>
          <w:b/>
          <w:color w:val="000000"/>
          <w:sz w:val="20"/>
          <w:szCs w:val="20"/>
          <w:lang w:val="es-CO"/>
        </w:rPr>
      </w:pPr>
      <w:r w:rsidRPr="00F42DE5">
        <w:rPr>
          <w:rFonts w:ascii="Cambria" w:eastAsia="Batang" w:hAnsi="Cambria"/>
          <w:bCs/>
          <w:color w:val="000000"/>
          <w:sz w:val="20"/>
          <w:szCs w:val="20"/>
          <w:lang w:val="es-CO"/>
        </w:rPr>
        <w:t>El Estado procesó a</w:t>
      </w:r>
      <w:r w:rsidRPr="00F42DE5">
        <w:rPr>
          <w:rFonts w:ascii="Cambria" w:hAnsi="Cambria"/>
          <w:color w:val="000000"/>
          <w:sz w:val="20"/>
          <w:szCs w:val="20"/>
          <w:lang w:val="es-CO" w:eastAsia="es-ES_tradnl"/>
        </w:rPr>
        <w:t xml:space="preserve"> 11miembros de la fuerza pública, 11 miembros pertenecientes a las Autodefensas Unidas de Colombia y 1 civil.</w:t>
      </w:r>
      <w:r w:rsidRPr="00F42DE5">
        <w:rPr>
          <w:rFonts w:ascii="Cambria" w:eastAsia="Batang" w:hAnsi="Cambria"/>
          <w:b/>
          <w:color w:val="000000"/>
          <w:sz w:val="20"/>
          <w:szCs w:val="20"/>
          <w:lang w:val="es-CO"/>
        </w:rPr>
        <w:t xml:space="preserve"> </w:t>
      </w:r>
      <w:r w:rsidRPr="00F42DE5">
        <w:rPr>
          <w:rFonts w:ascii="Cambria" w:hAnsi="Cambria"/>
          <w:color w:val="000000"/>
          <w:sz w:val="20"/>
          <w:szCs w:val="20"/>
          <w:lang w:val="es-CO" w:eastAsia="es-ES_tradnl"/>
        </w:rPr>
        <w:t>De las 23 personas procesadas, 16 fueron condenadas y una fue absuelta.</w:t>
      </w:r>
    </w:p>
    <w:p w14:paraId="5E2CE4CA" w14:textId="144B872A" w:rsidR="003B3362" w:rsidRPr="00F42DE5" w:rsidRDefault="00E66C1B" w:rsidP="005A1DFD">
      <w:pPr>
        <w:numPr>
          <w:ilvl w:val="0"/>
          <w:numId w:val="43"/>
        </w:numPr>
        <w:spacing w:after="0" w:line="240" w:lineRule="auto"/>
        <w:ind w:left="1418" w:right="-270" w:hanging="698"/>
        <w:jc w:val="both"/>
        <w:rPr>
          <w:rFonts w:ascii="Cambria" w:eastAsia="Batang" w:hAnsi="Cambria"/>
          <w:b/>
          <w:color w:val="000000"/>
          <w:lang w:val="es-CO"/>
        </w:rPr>
      </w:pPr>
      <w:r w:rsidRPr="00F42DE5">
        <w:rPr>
          <w:rFonts w:ascii="Cambria" w:hAnsi="Cambria"/>
          <w:color w:val="000000"/>
          <w:sz w:val="20"/>
          <w:szCs w:val="20"/>
          <w:lang w:val="es-CO" w:eastAsia="es-ES_tradnl"/>
        </w:rPr>
        <w:t>Las investigaciones continúan, por fuera del marco de la supervisión de este acuerdo de solución amistosa, en los macro Casos No. 06 y 08 ante la JEP.</w:t>
      </w:r>
    </w:p>
    <w:sectPr w:rsidR="003B3362" w:rsidRPr="00F42DE5" w:rsidSect="00FF451D">
      <w:head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64B6" w14:textId="77777777" w:rsidR="00FF451D" w:rsidRDefault="00FF451D" w:rsidP="00A343FF">
      <w:pPr>
        <w:spacing w:after="0" w:line="240" w:lineRule="auto"/>
      </w:pPr>
      <w:r>
        <w:separator/>
      </w:r>
    </w:p>
  </w:endnote>
  <w:endnote w:type="continuationSeparator" w:id="0">
    <w:p w14:paraId="4DABDED9" w14:textId="77777777" w:rsidR="00FF451D" w:rsidRDefault="00FF451D"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53B" w14:textId="77777777" w:rsidR="0016622B" w:rsidRDefault="004D4720" w:rsidP="0016622B">
    <w:pPr>
      <w:pStyle w:val="Footer"/>
      <w:spacing w:line="360" w:lineRule="auto"/>
      <w:jc w:val="right"/>
    </w:pPr>
    <w:bookmarkStart w:id="52" w:name="_Hlk129090884"/>
    <w:bookmarkStart w:id="53" w:name="_Hlk129090885"/>
    <w:bookmarkStart w:id="54" w:name="_Hlk129091044"/>
    <w:bookmarkStart w:id="55" w:name="_Hlk129091045"/>
    <w:bookmarkStart w:id="56" w:name="_Hlk129091049"/>
    <w:bookmarkStart w:id="57" w:name="_Hlk129091050"/>
    <w:bookmarkStart w:id="58" w:name="_Hlk129091188"/>
    <w:bookmarkStart w:id="59" w:name="_Hlk129091189"/>
    <w:bookmarkStart w:id="60" w:name="_Hlk129091982"/>
    <w:bookmarkStart w:id="61" w:name="_Hlk129091983"/>
    <w:bookmarkStart w:id="62" w:name="_Hlk129092109"/>
    <w:bookmarkStart w:id="63" w:name="_Hlk129092110"/>
    <w:bookmarkStart w:id="64" w:name="_Hlk129092206"/>
    <w:bookmarkStart w:id="65" w:name="_Hlk129092207"/>
    <w:bookmarkStart w:id="66" w:name="_Hlk129092304"/>
    <w:bookmarkStart w:id="67" w:name="_Hlk129092305"/>
    <w:bookmarkStart w:id="68" w:name="_Hlk129092365"/>
    <w:bookmarkStart w:id="69" w:name="_Hlk129092366"/>
    <w:bookmarkStart w:id="70" w:name="_Hlk129092414"/>
    <w:bookmarkStart w:id="71" w:name="_Hlk129092415"/>
    <w:bookmarkStart w:id="72" w:name="_Hlk129092467"/>
    <w:bookmarkStart w:id="73" w:name="_Hlk129092468"/>
    <w:r>
      <w:rPr>
        <w:noProof/>
      </w:rPr>
      <w:pict w14:anchorId="760A5482">
        <v:rect id="_x0000_i1027" alt="" style="width:441.9pt;height:.05pt;mso-width-percent:0;mso-height-percent:0;mso-width-percent:0;mso-height-percent:0" o:hralign="center" o:hrstd="t" o:hr="t" fillcolor="#a0a0a0" stroked="f"/>
      </w:pict>
    </w:r>
  </w:p>
  <w:p w14:paraId="0E844130" w14:textId="21A68A80" w:rsidR="0016622B" w:rsidRDefault="0016622B" w:rsidP="0016622B">
    <w:pPr>
      <w:pStyle w:val="Footer"/>
      <w:jc w:val="center"/>
    </w:pPr>
    <w:r w:rsidRPr="008A5CB5">
      <w:rPr>
        <w:noProof/>
      </w:rPr>
      <w:drawing>
        <wp:inline distT="0" distB="0" distL="0" distR="0" wp14:anchorId="0558EA3A" wp14:editId="66FD6207">
          <wp:extent cx="5117465" cy="324485"/>
          <wp:effectExtent l="0" t="0" r="6985" b="0"/>
          <wp:docPr id="1451304620" name="Picture 12" descr="C:\Users\mfontana\Documents\Eva Fontana\GRAFICA CIDH\cartas\logos\foote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mfontana\Documents\Eva Fontana\GRAFICA CIDH\cartas\logos\foote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7465" cy="324485"/>
                  </a:xfrm>
                  <a:prstGeom prst="rect">
                    <a:avLst/>
                  </a:prstGeom>
                  <a:noFill/>
                  <a:ln>
                    <a:noFill/>
                  </a:ln>
                </pic:spPr>
              </pic:pic>
            </a:graphicData>
          </a:graphic>
        </wp:inline>
      </w:drawing>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6C728E51" w14:textId="77777777" w:rsidR="00986996" w:rsidRDefault="00986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6008" w14:textId="77777777" w:rsidR="00FF451D" w:rsidRDefault="00FF451D" w:rsidP="00A343FF">
      <w:pPr>
        <w:spacing w:after="0" w:line="240" w:lineRule="auto"/>
      </w:pPr>
      <w:r>
        <w:separator/>
      </w:r>
    </w:p>
  </w:footnote>
  <w:footnote w:type="continuationSeparator" w:id="0">
    <w:p w14:paraId="7F075065" w14:textId="77777777" w:rsidR="00FF451D" w:rsidRDefault="00FF451D" w:rsidP="00A343FF">
      <w:pPr>
        <w:spacing w:after="0" w:line="240" w:lineRule="auto"/>
      </w:pPr>
      <w:r>
        <w:continuationSeparator/>
      </w:r>
    </w:p>
  </w:footnote>
  <w:footnote w:id="1">
    <w:p w14:paraId="443BC0ED" w14:textId="77777777" w:rsidR="00897783" w:rsidRPr="00183679" w:rsidRDefault="00897783" w:rsidP="00E66C1B">
      <w:pPr>
        <w:pStyle w:val="FootnoteText"/>
        <w:spacing w:after="0" w:line="240" w:lineRule="auto"/>
        <w:ind w:firstLine="709"/>
        <w:jc w:val="both"/>
        <w:rPr>
          <w:rFonts w:ascii="Cambria" w:hAnsi="Cambria"/>
          <w:sz w:val="16"/>
          <w:szCs w:val="16"/>
          <w:lang w:val="es-US"/>
        </w:rPr>
      </w:pPr>
      <w:r w:rsidRPr="00F42DE5">
        <w:rPr>
          <w:rStyle w:val="FootnoteReference"/>
          <w:rFonts w:ascii="Cambria" w:hAnsi="Cambria"/>
          <w:sz w:val="16"/>
          <w:szCs w:val="16"/>
        </w:rPr>
        <w:footnoteRef/>
      </w:r>
      <w:r w:rsidRPr="00F42DE5">
        <w:rPr>
          <w:rFonts w:ascii="Cambria" w:hAnsi="Cambria"/>
          <w:sz w:val="16"/>
          <w:szCs w:val="16"/>
          <w:lang w:val="es-US"/>
        </w:rPr>
        <w:t xml:space="preserve"> </w:t>
      </w:r>
      <w:r w:rsidRPr="00F42DE5">
        <w:rPr>
          <w:rFonts w:ascii="Cambria" w:hAnsi="Cambria"/>
          <w:color w:val="000000"/>
          <w:sz w:val="16"/>
          <w:szCs w:val="16"/>
          <w:lang w:val="es-ES"/>
        </w:rPr>
        <w:t xml:space="preserve">Ver CIDH, </w:t>
      </w:r>
      <w:r w:rsidRPr="00F42DE5">
        <w:rPr>
          <w:rFonts w:ascii="Cambria" w:hAnsi="Cambria"/>
          <w:i/>
          <w:iCs/>
          <w:color w:val="000000"/>
          <w:sz w:val="16"/>
          <w:szCs w:val="16"/>
          <w:lang w:val="es-ES"/>
        </w:rPr>
        <w:t>Informe Anual 2022</w:t>
      </w:r>
      <w:r w:rsidRPr="00F42DE5">
        <w:rPr>
          <w:rFonts w:ascii="Cambria" w:hAnsi="Cambria"/>
          <w:color w:val="000000"/>
          <w:sz w:val="16"/>
          <w:szCs w:val="16"/>
          <w:lang w:val="es-ES"/>
        </w:rPr>
        <w:t xml:space="preserve">, Capítulo II, Sección C. Avances y retrocesos en materia de negociación e implementación de acuerdos de solución amistosa. </w:t>
      </w:r>
      <w:r w:rsidRPr="00F42DE5">
        <w:rPr>
          <w:rFonts w:ascii="Cambria" w:hAnsi="Cambria"/>
          <w:color w:val="000000"/>
          <w:sz w:val="16"/>
          <w:szCs w:val="16"/>
          <w:lang w:val="es-US"/>
        </w:rPr>
        <w:t xml:space="preserve">Disponible en: </w:t>
      </w:r>
      <w:hyperlink r:id="rId1" w:history="1">
        <w:r w:rsidRPr="00F42DE5">
          <w:rPr>
            <w:rStyle w:val="Hyperlink"/>
            <w:rFonts w:ascii="Cambria" w:hAnsi="Cambria"/>
            <w:sz w:val="16"/>
            <w:szCs w:val="16"/>
            <w:lang w:val="es-US"/>
          </w:rPr>
          <w:t>https://www.oas.org/es/cidh/docs/anual/2022/capitulos/4-IA2022_Cap_2_ES.pdf</w:t>
        </w:r>
      </w:hyperlink>
    </w:p>
  </w:footnote>
  <w:footnote w:id="2">
    <w:p w14:paraId="644B58EB" w14:textId="77777777" w:rsidR="00897783" w:rsidRPr="00F42DE5" w:rsidRDefault="00897783" w:rsidP="00E66C1B">
      <w:pPr>
        <w:pStyle w:val="FootnoteText"/>
        <w:spacing w:after="0" w:line="240" w:lineRule="auto"/>
        <w:ind w:firstLine="709"/>
        <w:jc w:val="both"/>
        <w:rPr>
          <w:color w:val="000000"/>
          <w:szCs w:val="16"/>
          <w:lang w:val="es-VE"/>
        </w:rPr>
      </w:pPr>
      <w:r w:rsidRPr="00F42DE5">
        <w:rPr>
          <w:rStyle w:val="FootnoteReference"/>
          <w:rFonts w:ascii="Cambria" w:hAnsi="Cambria"/>
          <w:color w:val="000000"/>
          <w:sz w:val="16"/>
          <w:szCs w:val="16"/>
        </w:rPr>
        <w:footnoteRef/>
      </w:r>
      <w:r w:rsidRPr="00F42DE5">
        <w:rPr>
          <w:rFonts w:ascii="Cambria" w:hAnsi="Cambria"/>
          <w:color w:val="000000"/>
          <w:sz w:val="16"/>
          <w:szCs w:val="16"/>
          <w:lang w:val="es-VE"/>
        </w:rPr>
        <w:t xml:space="preserve"> </w:t>
      </w:r>
      <w:r w:rsidRPr="00F42DE5">
        <w:rPr>
          <w:rFonts w:ascii="Cambria" w:hAnsi="Cambria"/>
          <w:color w:val="000000"/>
          <w:sz w:val="16"/>
          <w:szCs w:val="16"/>
          <w:lang w:val="es-ES_tradnl"/>
        </w:rPr>
        <w:t xml:space="preserve">Informe No. 83/08, Petición 421-05, Jorge Antonio Barbosa Tarazona, Colombia, 30 de octubre de 2009, disponible en </w:t>
      </w:r>
      <w:hyperlink r:id="rId2" w:history="1">
        <w:r w:rsidRPr="00F42DE5">
          <w:rPr>
            <w:rStyle w:val="Hyperlink"/>
            <w:rFonts w:ascii="Cambria" w:hAnsi="Cambria"/>
            <w:color w:val="000000"/>
            <w:sz w:val="16"/>
            <w:szCs w:val="16"/>
            <w:lang w:val="es-ES_tradnl"/>
          </w:rPr>
          <w:t>http://www.cidh.oas.org/annualrep/2008sp/Colombia401-05.sp.htm</w:t>
        </w:r>
      </w:hyperlink>
    </w:p>
  </w:footnote>
  <w:footnote w:id="3">
    <w:p w14:paraId="52B02FA0" w14:textId="77777777" w:rsidR="00E66C1B" w:rsidRPr="00F42DE5" w:rsidRDefault="00E66C1B" w:rsidP="00E66C1B">
      <w:pPr>
        <w:pStyle w:val="FootnoteText"/>
        <w:spacing w:after="0" w:line="240" w:lineRule="auto"/>
        <w:ind w:firstLine="709"/>
        <w:jc w:val="both"/>
        <w:rPr>
          <w:rFonts w:ascii="Cambria" w:hAnsi="Cambria"/>
          <w:sz w:val="16"/>
          <w:szCs w:val="16"/>
          <w:lang w:val="es-US"/>
        </w:rPr>
      </w:pPr>
      <w:r w:rsidRPr="00F42DE5">
        <w:rPr>
          <w:rStyle w:val="FootnoteReference"/>
          <w:rFonts w:ascii="Cambria" w:hAnsi="Cambria"/>
          <w:sz w:val="16"/>
          <w:szCs w:val="16"/>
        </w:rPr>
        <w:footnoteRef/>
      </w:r>
      <w:r w:rsidRPr="00F42DE5">
        <w:rPr>
          <w:rFonts w:ascii="Cambria" w:hAnsi="Cambria"/>
          <w:sz w:val="16"/>
          <w:szCs w:val="16"/>
          <w:lang w:val="es-US"/>
        </w:rPr>
        <w:t xml:space="preserve"> </w:t>
      </w:r>
      <w:r w:rsidRPr="00F42DE5">
        <w:rPr>
          <w:rFonts w:ascii="Cambria" w:hAnsi="Cambria"/>
          <w:color w:val="000000"/>
          <w:sz w:val="16"/>
          <w:szCs w:val="16"/>
          <w:lang w:val="es-ES"/>
        </w:rPr>
        <w:t xml:space="preserve">Ver CIDH, </w:t>
      </w:r>
      <w:r w:rsidRPr="00F42DE5">
        <w:rPr>
          <w:rFonts w:ascii="Cambria" w:hAnsi="Cambria"/>
          <w:i/>
          <w:iCs/>
          <w:color w:val="000000"/>
          <w:sz w:val="16"/>
          <w:szCs w:val="16"/>
          <w:lang w:val="es-ES"/>
        </w:rPr>
        <w:t>Informe Anual 2022</w:t>
      </w:r>
      <w:r w:rsidRPr="00F42DE5">
        <w:rPr>
          <w:rFonts w:ascii="Cambria" w:hAnsi="Cambria"/>
          <w:color w:val="000000"/>
          <w:sz w:val="16"/>
          <w:szCs w:val="16"/>
          <w:lang w:val="es-ES"/>
        </w:rPr>
        <w:t xml:space="preserve">, Capítulo II, Sección C. Avances y retrocesos en materia de negociación e implementación de acuerdos de solución amistosa. </w:t>
      </w:r>
      <w:r w:rsidRPr="00F42DE5">
        <w:rPr>
          <w:rFonts w:ascii="Cambria" w:hAnsi="Cambria"/>
          <w:color w:val="000000"/>
          <w:sz w:val="16"/>
          <w:szCs w:val="16"/>
          <w:lang w:val="es-US"/>
        </w:rPr>
        <w:t xml:space="preserve">Disponible en: </w:t>
      </w:r>
      <w:hyperlink r:id="rId3" w:history="1">
        <w:r w:rsidRPr="00F42DE5">
          <w:rPr>
            <w:rStyle w:val="Hyperlink"/>
            <w:rFonts w:ascii="Cambria" w:hAnsi="Cambria"/>
            <w:sz w:val="16"/>
            <w:szCs w:val="16"/>
            <w:lang w:val="es-US"/>
          </w:rPr>
          <w:t>https://www.oas.org/es/cidh/docs/anual/2022/capitulos/4-IA2022_Cap_2_ES.pdf</w:t>
        </w:r>
      </w:hyperlink>
    </w:p>
  </w:footnote>
  <w:footnote w:id="4">
    <w:p w14:paraId="3785ADFE" w14:textId="77777777" w:rsidR="00E66C1B" w:rsidRPr="00F42DE5" w:rsidRDefault="00E66C1B" w:rsidP="00E66C1B">
      <w:pPr>
        <w:pStyle w:val="FootnoteText"/>
        <w:spacing w:after="0" w:line="240" w:lineRule="auto"/>
        <w:ind w:firstLine="709"/>
        <w:jc w:val="both"/>
        <w:rPr>
          <w:rFonts w:ascii="Cambria" w:hAnsi="Cambria"/>
          <w:color w:val="000000"/>
          <w:sz w:val="16"/>
          <w:szCs w:val="16"/>
          <w:lang w:val="es-VE"/>
        </w:rPr>
      </w:pPr>
      <w:r w:rsidRPr="00F42DE5">
        <w:rPr>
          <w:rStyle w:val="FootnoteReference"/>
          <w:rFonts w:ascii="Cambria" w:hAnsi="Cambria"/>
          <w:color w:val="000000"/>
          <w:sz w:val="16"/>
          <w:szCs w:val="16"/>
        </w:rPr>
        <w:footnoteRef/>
      </w:r>
      <w:r w:rsidRPr="00F42DE5">
        <w:rPr>
          <w:rFonts w:ascii="Cambria" w:hAnsi="Cambria"/>
          <w:color w:val="000000"/>
          <w:sz w:val="16"/>
          <w:szCs w:val="16"/>
          <w:lang w:val="es-VE"/>
        </w:rPr>
        <w:t xml:space="preserve"> Ver CIDH, Informe Anual 2016, Capítulo II, Sección D: Estado de Cumplimiento de las Recomendaciones y Soluciones Amistosas en casos individuales,  párrs. 694.</w:t>
      </w:r>
    </w:p>
  </w:footnote>
  <w:footnote w:id="5">
    <w:p w14:paraId="15572753" w14:textId="3FA21E9D" w:rsidR="00E66C1B" w:rsidRPr="00E66C1B" w:rsidRDefault="00E66C1B" w:rsidP="00E66C1B">
      <w:pPr>
        <w:pStyle w:val="FootnoteText"/>
        <w:spacing w:line="240" w:lineRule="auto"/>
        <w:ind w:firstLine="709"/>
        <w:jc w:val="both"/>
        <w:rPr>
          <w:lang w:val="es-ES"/>
        </w:rPr>
      </w:pPr>
      <w:r w:rsidRPr="00F42DE5">
        <w:rPr>
          <w:rStyle w:val="FootnoteReference"/>
          <w:rFonts w:ascii="Cambria" w:hAnsi="Cambria"/>
          <w:sz w:val="16"/>
          <w:szCs w:val="16"/>
        </w:rPr>
        <w:footnoteRef/>
      </w:r>
      <w:r w:rsidRPr="00F42DE5">
        <w:rPr>
          <w:rFonts w:ascii="Cambria" w:hAnsi="Cambria"/>
          <w:sz w:val="16"/>
          <w:szCs w:val="16"/>
          <w:lang w:val="es-CO"/>
        </w:rPr>
        <w:t xml:space="preserve"> </w:t>
      </w:r>
      <w:r w:rsidRPr="00F42DE5">
        <w:rPr>
          <w:rFonts w:ascii="Cambria" w:hAnsi="Cambria"/>
          <w:sz w:val="16"/>
          <w:szCs w:val="16"/>
          <w:lang w:val="es-ES"/>
        </w:rPr>
        <w:t xml:space="preserve">Ver CIDH, Informe Anual 2023, Capítulo II, Sección </w:t>
      </w:r>
      <w:r w:rsidR="00F42DE5">
        <w:rPr>
          <w:rFonts w:ascii="Cambria" w:hAnsi="Cambria"/>
          <w:sz w:val="16"/>
          <w:szCs w:val="16"/>
          <w:lang w:val="es-ES"/>
        </w:rPr>
        <w:t>C</w:t>
      </w:r>
      <w:r w:rsidRPr="00F42DE5">
        <w:rPr>
          <w:rFonts w:ascii="Cambria" w:hAnsi="Cambria"/>
          <w:sz w:val="16"/>
          <w:szCs w:val="16"/>
          <w:lang w:val="es-ES"/>
        </w:rPr>
        <w:t xml:space="preserve">. Avances y retrocesos en materia de negociación e implementación de acuerdos de solución amistosa. </w:t>
      </w:r>
      <w:r w:rsidRPr="00F42DE5">
        <w:rPr>
          <w:rFonts w:ascii="Cambria" w:hAnsi="Cambria"/>
          <w:sz w:val="16"/>
          <w:szCs w:val="16"/>
          <w:lang w:val="es-CO"/>
        </w:rPr>
        <w:t xml:space="preserve">Disponible en: </w:t>
      </w:r>
      <w:hyperlink r:id="rId4" w:history="1">
        <w:r w:rsidR="00183679" w:rsidRPr="00183679">
          <w:rPr>
            <w:rStyle w:val="Hyperlink"/>
            <w:rFonts w:ascii="Cambria" w:hAnsi="Cambria"/>
            <w:sz w:val="16"/>
            <w:szCs w:val="16"/>
            <w:lang w:val="es-ES"/>
          </w:rPr>
          <w:t>https://www.oas.org/es/cidh/docs/anual/2023/capitulos/IA2023_Cap_2_SPA.PDF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F161" w14:textId="2A994F7F" w:rsidR="00786A91" w:rsidRPr="0058688A" w:rsidRDefault="00786A91" w:rsidP="00786A91">
    <w:pPr>
      <w:pStyle w:val="Header"/>
      <w:jc w:val="center"/>
      <w:rPr>
        <w:lang w:val="es-ES_tradnl"/>
      </w:rPr>
    </w:pPr>
    <w:bookmarkStart w:id="0" w:name="_Hlk129090305"/>
    <w:bookmarkStart w:id="1" w:name="_Hlk129090306"/>
    <w:bookmarkStart w:id="2" w:name="_Hlk129090399"/>
    <w:bookmarkStart w:id="3" w:name="_Hlk129090400"/>
    <w:bookmarkStart w:id="4" w:name="_Hlk129090413"/>
    <w:bookmarkStart w:id="5" w:name="_Hlk129090414"/>
    <w:bookmarkStart w:id="6" w:name="_Hlk129090871"/>
    <w:bookmarkStart w:id="7" w:name="_Hlk129090872"/>
    <w:bookmarkStart w:id="8" w:name="_Hlk129091030"/>
    <w:bookmarkStart w:id="9" w:name="_Hlk129091031"/>
    <w:bookmarkStart w:id="10" w:name="_Hlk129091177"/>
    <w:bookmarkStart w:id="11" w:name="_Hlk129091178"/>
    <w:bookmarkStart w:id="12" w:name="_Hlk129091943"/>
    <w:bookmarkStart w:id="13" w:name="_Hlk129091944"/>
    <w:bookmarkStart w:id="14" w:name="_Hlk129091951"/>
    <w:bookmarkStart w:id="15" w:name="_Hlk129091952"/>
    <w:bookmarkStart w:id="16" w:name="_Hlk129091955"/>
    <w:bookmarkStart w:id="17" w:name="_Hlk129091956"/>
    <w:bookmarkStart w:id="18" w:name="_Hlk129091959"/>
    <w:bookmarkStart w:id="19" w:name="_Hlk129091960"/>
    <w:bookmarkStart w:id="20" w:name="_Hlk129091963"/>
    <w:bookmarkStart w:id="21" w:name="_Hlk129091964"/>
    <w:bookmarkStart w:id="22" w:name="_Hlk129091966"/>
    <w:bookmarkStart w:id="23" w:name="_Hlk129091967"/>
    <w:bookmarkStart w:id="24" w:name="_Hlk129091970"/>
    <w:bookmarkStart w:id="25" w:name="_Hlk129091971"/>
    <w:bookmarkStart w:id="26" w:name="_Hlk129092063"/>
    <w:bookmarkStart w:id="27" w:name="_Hlk129092064"/>
    <w:r>
      <w:rPr>
        <w:noProof/>
        <w:lang w:val="es-ES_tradnl"/>
      </w:rPr>
      <w:drawing>
        <wp:inline distT="0" distB="0" distL="0" distR="0" wp14:anchorId="2DE3BD4C" wp14:editId="34D3560F">
          <wp:extent cx="2286000" cy="118110"/>
          <wp:effectExtent l="0" t="0" r="0" b="0"/>
          <wp:docPr id="4603050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8110"/>
                  </a:xfrm>
                  <a:prstGeom prst="rect">
                    <a:avLst/>
                  </a:prstGeom>
                  <a:noFill/>
                  <a:ln>
                    <a:noFill/>
                  </a:ln>
                </pic:spPr>
              </pic:pic>
            </a:graphicData>
          </a:graphic>
        </wp:inline>
      </w:drawing>
    </w:r>
  </w:p>
  <w:p w14:paraId="106FE7C3" w14:textId="77777777" w:rsidR="00786A91" w:rsidRDefault="004D4720" w:rsidP="00786A91">
    <w:pPr>
      <w:pStyle w:val="Header"/>
    </w:pPr>
    <w:r>
      <w:rPr>
        <w:noProof/>
      </w:rPr>
      <w:pict w14:anchorId="14E1C735">
        <v:rect id="_x0000_i1025" alt="" style="width:441.9pt;height:.05pt;mso-width-percent:0;mso-height-percent:0;mso-width-percent:0;mso-height-percent:0" o:hralign="center" o:hrstd="t" o:hr="t" fillcolor="#a0a0a0" stroked="f"/>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6ED8EE" w14:textId="77777777" w:rsidR="00986996" w:rsidRDefault="009869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F28" w14:textId="6FF52866" w:rsidR="00986996" w:rsidRDefault="00986996" w:rsidP="00986996">
    <w:pPr>
      <w:pStyle w:val="Header"/>
    </w:pPr>
    <w:bookmarkStart w:id="28" w:name="_Hlk129090378"/>
    <w:bookmarkStart w:id="29" w:name="_Hlk129090379"/>
    <w:bookmarkStart w:id="30" w:name="_Hlk129090860"/>
    <w:bookmarkStart w:id="31" w:name="_Hlk129090861"/>
    <w:bookmarkStart w:id="32" w:name="_Hlk129091020"/>
    <w:bookmarkStart w:id="33" w:name="_Hlk129091021"/>
    <w:bookmarkStart w:id="34" w:name="_Hlk129091166"/>
    <w:bookmarkStart w:id="35" w:name="_Hlk129091167"/>
    <w:bookmarkStart w:id="36" w:name="_Hlk129091892"/>
    <w:bookmarkStart w:id="37" w:name="_Hlk129091893"/>
    <w:bookmarkStart w:id="38" w:name="_Hlk129091899"/>
    <w:bookmarkStart w:id="39" w:name="_Hlk129091900"/>
    <w:bookmarkStart w:id="40" w:name="_Hlk129091905"/>
    <w:bookmarkStart w:id="41" w:name="_Hlk129091906"/>
    <w:bookmarkStart w:id="42" w:name="_Hlk129091911"/>
    <w:bookmarkStart w:id="43" w:name="_Hlk129091912"/>
    <w:bookmarkStart w:id="44" w:name="_Hlk129091916"/>
    <w:bookmarkStart w:id="45" w:name="_Hlk129091917"/>
    <w:bookmarkStart w:id="46" w:name="_Hlk129091922"/>
    <w:bookmarkStart w:id="47" w:name="_Hlk129091923"/>
    <w:bookmarkStart w:id="48" w:name="_Hlk129091926"/>
    <w:bookmarkStart w:id="49" w:name="_Hlk129091927"/>
    <w:bookmarkStart w:id="50" w:name="_Hlk129092049"/>
    <w:bookmarkStart w:id="51" w:name="_Hlk129092050"/>
    <w:r w:rsidRPr="008A5CB5">
      <w:rPr>
        <w:noProof/>
      </w:rPr>
      <w:drawing>
        <wp:inline distT="0" distB="0" distL="0" distR="0" wp14:anchorId="56BF2400" wp14:editId="6FF8564F">
          <wp:extent cx="2345055" cy="457200"/>
          <wp:effectExtent l="0" t="0" r="0" b="0"/>
          <wp:docPr id="951335612" name="Picture 10"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055" cy="457200"/>
                  </a:xfrm>
                  <a:prstGeom prst="rect">
                    <a:avLst/>
                  </a:prstGeom>
                  <a:noFill/>
                  <a:ln>
                    <a:noFill/>
                  </a:ln>
                </pic:spPr>
              </pic:pic>
            </a:graphicData>
          </a:graphic>
        </wp:inline>
      </w:drawing>
    </w:r>
    <w:r>
      <w:tab/>
    </w:r>
    <w:r>
      <w:tab/>
    </w:r>
    <w:r>
      <w:rPr>
        <w:noProof/>
      </w:rPr>
      <w:drawing>
        <wp:inline distT="0" distB="0" distL="0" distR="0" wp14:anchorId="01CAA8EC" wp14:editId="257761F1">
          <wp:extent cx="1943100" cy="495300"/>
          <wp:effectExtent l="0" t="0" r="0" b="0"/>
          <wp:docPr id="21414959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098AA4A6" w14:textId="77777777" w:rsidR="00986996" w:rsidRDefault="004D4720" w:rsidP="00986996">
    <w:pPr>
      <w:pStyle w:val="Header"/>
    </w:pPr>
    <w:r>
      <w:rPr>
        <w:noProof/>
      </w:rPr>
      <w:pict w14:anchorId="6C61DD87">
        <v:rect id="_x0000_i1026" alt="" style="width:441.9pt;height:.05pt;mso-width-percent:0;mso-height-percent:0;mso-width-percent:0;mso-height-percent:0" o:hralign="center" o:hrstd="t" o:hr="t" fillcolor="#a0a0a0" stroked="f"/>
      </w:pic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FFC428A" w14:textId="77777777" w:rsidR="00986996" w:rsidRDefault="0098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7C6"/>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6367BDB"/>
    <w:multiLevelType w:val="hybridMultilevel"/>
    <w:tmpl w:val="61D4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46898"/>
    <w:multiLevelType w:val="hybridMultilevel"/>
    <w:tmpl w:val="1736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B3F0B"/>
    <w:multiLevelType w:val="hybridMultilevel"/>
    <w:tmpl w:val="38DE0034"/>
    <w:lvl w:ilvl="0" w:tplc="0EEE235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3402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5" w15:restartNumberingAfterBreak="0">
    <w:nsid w:val="11B45238"/>
    <w:multiLevelType w:val="hybridMultilevel"/>
    <w:tmpl w:val="E132C0D0"/>
    <w:lvl w:ilvl="0" w:tplc="65526156">
      <w:start w:val="1"/>
      <w:numFmt w:val="bullet"/>
      <w:lvlText w:val=""/>
      <w:lvlJc w:val="left"/>
      <w:pPr>
        <w:ind w:left="1530" w:hanging="360"/>
      </w:pPr>
      <w:rPr>
        <w:rFonts w:ascii="Symbol" w:hAnsi="Symbol" w:hint="default"/>
        <w:color w:val="000000"/>
        <w:sz w:val="20"/>
        <w:szCs w:val="20"/>
      </w:rPr>
    </w:lvl>
    <w:lvl w:ilvl="1" w:tplc="0C0A0003">
      <w:start w:val="1"/>
      <w:numFmt w:val="bullet"/>
      <w:lvlText w:val="o"/>
      <w:lvlJc w:val="left"/>
      <w:pPr>
        <w:ind w:left="2250" w:hanging="360"/>
      </w:pPr>
      <w:rPr>
        <w:rFonts w:ascii="Courier New" w:hAnsi="Courier New" w:cs="Courier New" w:hint="default"/>
      </w:rPr>
    </w:lvl>
    <w:lvl w:ilvl="2" w:tplc="0C0A0005" w:tentative="1">
      <w:start w:val="1"/>
      <w:numFmt w:val="bullet"/>
      <w:lvlText w:val=""/>
      <w:lvlJc w:val="left"/>
      <w:pPr>
        <w:ind w:left="2970" w:hanging="360"/>
      </w:pPr>
      <w:rPr>
        <w:rFonts w:ascii="Wingdings" w:hAnsi="Wingdings" w:hint="default"/>
      </w:rPr>
    </w:lvl>
    <w:lvl w:ilvl="3" w:tplc="0C0A0001" w:tentative="1">
      <w:start w:val="1"/>
      <w:numFmt w:val="bullet"/>
      <w:lvlText w:val=""/>
      <w:lvlJc w:val="left"/>
      <w:pPr>
        <w:ind w:left="3690" w:hanging="360"/>
      </w:pPr>
      <w:rPr>
        <w:rFonts w:ascii="Symbol" w:hAnsi="Symbol" w:hint="default"/>
      </w:rPr>
    </w:lvl>
    <w:lvl w:ilvl="4" w:tplc="0C0A0003" w:tentative="1">
      <w:start w:val="1"/>
      <w:numFmt w:val="bullet"/>
      <w:lvlText w:val="o"/>
      <w:lvlJc w:val="left"/>
      <w:pPr>
        <w:ind w:left="4410" w:hanging="360"/>
      </w:pPr>
      <w:rPr>
        <w:rFonts w:ascii="Courier New" w:hAnsi="Courier New" w:cs="Courier New" w:hint="default"/>
      </w:rPr>
    </w:lvl>
    <w:lvl w:ilvl="5" w:tplc="0C0A0005" w:tentative="1">
      <w:start w:val="1"/>
      <w:numFmt w:val="bullet"/>
      <w:lvlText w:val=""/>
      <w:lvlJc w:val="left"/>
      <w:pPr>
        <w:ind w:left="5130" w:hanging="360"/>
      </w:pPr>
      <w:rPr>
        <w:rFonts w:ascii="Wingdings" w:hAnsi="Wingdings" w:hint="default"/>
      </w:rPr>
    </w:lvl>
    <w:lvl w:ilvl="6" w:tplc="0C0A0001" w:tentative="1">
      <w:start w:val="1"/>
      <w:numFmt w:val="bullet"/>
      <w:lvlText w:val=""/>
      <w:lvlJc w:val="left"/>
      <w:pPr>
        <w:ind w:left="5850" w:hanging="360"/>
      </w:pPr>
      <w:rPr>
        <w:rFonts w:ascii="Symbol" w:hAnsi="Symbol" w:hint="default"/>
      </w:rPr>
    </w:lvl>
    <w:lvl w:ilvl="7" w:tplc="0C0A0003" w:tentative="1">
      <w:start w:val="1"/>
      <w:numFmt w:val="bullet"/>
      <w:lvlText w:val="o"/>
      <w:lvlJc w:val="left"/>
      <w:pPr>
        <w:ind w:left="6570" w:hanging="360"/>
      </w:pPr>
      <w:rPr>
        <w:rFonts w:ascii="Courier New" w:hAnsi="Courier New" w:cs="Courier New" w:hint="default"/>
      </w:rPr>
    </w:lvl>
    <w:lvl w:ilvl="8" w:tplc="0C0A0005" w:tentative="1">
      <w:start w:val="1"/>
      <w:numFmt w:val="bullet"/>
      <w:lvlText w:val=""/>
      <w:lvlJc w:val="left"/>
      <w:pPr>
        <w:ind w:left="7290" w:hanging="360"/>
      </w:pPr>
      <w:rPr>
        <w:rFonts w:ascii="Wingdings" w:hAnsi="Wingdings" w:hint="default"/>
      </w:rPr>
    </w:lvl>
  </w:abstractNum>
  <w:abstractNum w:abstractNumId="6" w15:restartNumberingAfterBreak="0">
    <w:nsid w:val="13E57989"/>
    <w:multiLevelType w:val="hybridMultilevel"/>
    <w:tmpl w:val="4E486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7C4600"/>
    <w:multiLevelType w:val="multilevel"/>
    <w:tmpl w:val="4E8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45C5A"/>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0" w15:restartNumberingAfterBreak="0">
    <w:nsid w:val="26390C79"/>
    <w:multiLevelType w:val="hybridMultilevel"/>
    <w:tmpl w:val="64186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95D2A"/>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A40412"/>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2833C9"/>
    <w:multiLevelType w:val="hybridMultilevel"/>
    <w:tmpl w:val="DC62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282297"/>
    <w:multiLevelType w:val="hybridMultilevel"/>
    <w:tmpl w:val="02EC50FC"/>
    <w:lvl w:ilvl="0" w:tplc="3E9AE710">
      <w:start w:val="1"/>
      <w:numFmt w:val="lowerLetter"/>
      <w:lvlText w:val="%1)"/>
      <w:lvlJc w:val="left"/>
      <w:pPr>
        <w:ind w:left="720" w:hanging="360"/>
      </w:pPr>
      <w:rPr>
        <w:rFonts w:eastAsia="Batang" w:cs="Calibri Light"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57121D"/>
    <w:multiLevelType w:val="hybridMultilevel"/>
    <w:tmpl w:val="D98A1BAC"/>
    <w:lvl w:ilvl="0" w:tplc="5732853C">
      <w:start w:val="1"/>
      <w:numFmt w:val="decimal"/>
      <w:lvlText w:val="%1)"/>
      <w:lvlJc w:val="left"/>
      <w:pPr>
        <w:ind w:left="720" w:hanging="360"/>
      </w:pPr>
      <w:rPr>
        <w:rFonts w:eastAsia="MS Mincho" w:hint="default"/>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D06FD1"/>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7" w15:restartNumberingAfterBreak="0">
    <w:nsid w:val="3CDF7F5E"/>
    <w:multiLevelType w:val="hybridMultilevel"/>
    <w:tmpl w:val="E21CF30C"/>
    <w:lvl w:ilvl="0" w:tplc="C80E52C4">
      <w:start w:val="1"/>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52019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903577"/>
    <w:multiLevelType w:val="hybridMultilevel"/>
    <w:tmpl w:val="95EE4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067251"/>
    <w:multiLevelType w:val="hybridMultilevel"/>
    <w:tmpl w:val="175EF996"/>
    <w:lvl w:ilvl="0" w:tplc="841A3D5C">
      <w:start w:val="1"/>
      <w:numFmt w:val="decimal"/>
      <w:lvlText w:val="%1."/>
      <w:lvlJc w:val="left"/>
      <w:pPr>
        <w:ind w:left="360" w:hanging="360"/>
      </w:pPr>
      <w:rPr>
        <w:rFonts w:ascii="Cambria" w:hAnsi="Cambria" w:cs="Times New Roman" w:hint="default"/>
        <w:b w:val="0"/>
        <w:i w:val="0"/>
        <w:color w:val="000000"/>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971D6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2" w15:restartNumberingAfterBreak="0">
    <w:nsid w:val="48714DE0"/>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B10173"/>
    <w:multiLevelType w:val="hybridMultilevel"/>
    <w:tmpl w:val="32568B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D17221E"/>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5" w15:restartNumberingAfterBreak="0">
    <w:nsid w:val="4D6C639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6" w15:restartNumberingAfterBreak="0">
    <w:nsid w:val="50951C10"/>
    <w:multiLevelType w:val="hybridMultilevel"/>
    <w:tmpl w:val="D0969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3E961B8"/>
    <w:multiLevelType w:val="hybridMultilevel"/>
    <w:tmpl w:val="2438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149C6"/>
    <w:multiLevelType w:val="hybridMultilevel"/>
    <w:tmpl w:val="8CCAC1AA"/>
    <w:lvl w:ilvl="0" w:tplc="495802DE">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BF1885"/>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0" w15:restartNumberingAfterBreak="0">
    <w:nsid w:val="5C7B19C8"/>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1" w15:restartNumberingAfterBreak="0">
    <w:nsid w:val="5E704826"/>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9776AC"/>
    <w:multiLevelType w:val="hybridMultilevel"/>
    <w:tmpl w:val="AED230A0"/>
    <w:lvl w:ilvl="0" w:tplc="B37AC236">
      <w:start w:val="1"/>
      <w:numFmt w:val="decimal"/>
      <w:lvlText w:val="%1."/>
      <w:lvlJc w:val="left"/>
      <w:pPr>
        <w:ind w:left="360" w:hanging="360"/>
      </w:pPr>
      <w:rPr>
        <w:rFonts w:ascii="Cambria" w:hAnsi="Cambria" w:cs="Times New Roman"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4C0C9D"/>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4" w15:restartNumberingAfterBreak="0">
    <w:nsid w:val="6DE83646"/>
    <w:multiLevelType w:val="hybridMultilevel"/>
    <w:tmpl w:val="AB56968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1593CC7"/>
    <w:multiLevelType w:val="hybridMultilevel"/>
    <w:tmpl w:val="E26844CE"/>
    <w:lvl w:ilvl="0" w:tplc="FFFFFFFF">
      <w:start w:val="1"/>
      <w:numFmt w:val="upperRoman"/>
      <w:lvlText w:val="%1."/>
      <w:lvlJc w:val="left"/>
      <w:pPr>
        <w:ind w:left="450" w:hanging="720"/>
      </w:pPr>
      <w:rPr>
        <w:rFonts w:hint="default"/>
        <w:b/>
        <w:color w:val="000000"/>
      </w:rPr>
    </w:lvl>
    <w:lvl w:ilvl="1" w:tplc="FFFFFFFF">
      <w:start w:val="1"/>
      <w:numFmt w:val="upperLetter"/>
      <w:lvlText w:val="%2."/>
      <w:lvlJc w:val="left"/>
      <w:pPr>
        <w:ind w:left="810" w:hanging="360"/>
      </w:pPr>
      <w:rPr>
        <w:rFonts w:hint="default"/>
      </w:r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36" w15:restartNumberingAfterBreak="0">
    <w:nsid w:val="75A45987"/>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75151D"/>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030E23"/>
    <w:multiLevelType w:val="hybridMultilevel"/>
    <w:tmpl w:val="175EF996"/>
    <w:lvl w:ilvl="0" w:tplc="FFFFFFFF">
      <w:start w:val="1"/>
      <w:numFmt w:val="decimal"/>
      <w:lvlText w:val="%1."/>
      <w:lvlJc w:val="left"/>
      <w:pPr>
        <w:ind w:left="360" w:hanging="360"/>
      </w:pPr>
      <w:rPr>
        <w:rFonts w:ascii="Cambria" w:hAnsi="Cambria" w:cs="Times New Roman" w:hint="default"/>
        <w:b w:val="0"/>
        <w:i w:val="0"/>
        <w:color w:val="0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F309D9"/>
    <w:multiLevelType w:val="hybridMultilevel"/>
    <w:tmpl w:val="2E027020"/>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B4148AA"/>
    <w:multiLevelType w:val="singleLevel"/>
    <w:tmpl w:val="D2E42AE6"/>
    <w:lvl w:ilvl="0">
      <w:start w:val="1"/>
      <w:numFmt w:val="decimal"/>
      <w:lvlText w:val="%1."/>
      <w:lvlJc w:val="left"/>
      <w:pPr>
        <w:tabs>
          <w:tab w:val="num" w:pos="1110"/>
        </w:tabs>
        <w:ind w:left="1110" w:hanging="390"/>
      </w:pPr>
      <w:rPr>
        <w:rFonts w:hint="default"/>
      </w:rPr>
    </w:lvl>
  </w:abstractNum>
  <w:abstractNum w:abstractNumId="41" w15:restartNumberingAfterBreak="0">
    <w:nsid w:val="7D4E5D74"/>
    <w:multiLevelType w:val="hybridMultilevel"/>
    <w:tmpl w:val="E530F43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DE87ABB"/>
    <w:multiLevelType w:val="hybridMultilevel"/>
    <w:tmpl w:val="E26844CE"/>
    <w:lvl w:ilvl="0" w:tplc="34E00408">
      <w:start w:val="1"/>
      <w:numFmt w:val="upperRoman"/>
      <w:lvlText w:val="%1."/>
      <w:lvlJc w:val="left"/>
      <w:pPr>
        <w:ind w:left="450" w:hanging="720"/>
      </w:pPr>
      <w:rPr>
        <w:rFonts w:hint="default"/>
        <w:b/>
        <w:color w:val="000000"/>
      </w:rPr>
    </w:lvl>
    <w:lvl w:ilvl="1" w:tplc="9CF60978">
      <w:start w:val="1"/>
      <w:numFmt w:val="upperLetter"/>
      <w:lvlText w:val="%2."/>
      <w:lvlJc w:val="left"/>
      <w:pPr>
        <w:ind w:left="810" w:hanging="360"/>
      </w:pPr>
      <w:rPr>
        <w:rFonts w:hint="default"/>
      </w:r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num w:numId="1" w16cid:durableId="1886792554">
    <w:abstractNumId w:val="40"/>
  </w:num>
  <w:num w:numId="2" w16cid:durableId="1198784672">
    <w:abstractNumId w:val="5"/>
  </w:num>
  <w:num w:numId="3" w16cid:durableId="946815819">
    <w:abstractNumId w:val="39"/>
  </w:num>
  <w:num w:numId="4" w16cid:durableId="1735083488">
    <w:abstractNumId w:val="23"/>
  </w:num>
  <w:num w:numId="5" w16cid:durableId="1809080309">
    <w:abstractNumId w:val="20"/>
  </w:num>
  <w:num w:numId="6" w16cid:durableId="2000111282">
    <w:abstractNumId w:val="42"/>
  </w:num>
  <w:num w:numId="7" w16cid:durableId="1182233948">
    <w:abstractNumId w:val="10"/>
  </w:num>
  <w:num w:numId="8" w16cid:durableId="653609088">
    <w:abstractNumId w:val="35"/>
  </w:num>
  <w:num w:numId="9" w16cid:durableId="263657786">
    <w:abstractNumId w:val="12"/>
  </w:num>
  <w:num w:numId="10" w16cid:durableId="1629429028">
    <w:abstractNumId w:val="4"/>
  </w:num>
  <w:num w:numId="11" w16cid:durableId="1415277257">
    <w:abstractNumId w:val="9"/>
  </w:num>
  <w:num w:numId="12" w16cid:durableId="98719486">
    <w:abstractNumId w:val="11"/>
  </w:num>
  <w:num w:numId="13" w16cid:durableId="643854056">
    <w:abstractNumId w:val="33"/>
  </w:num>
  <w:num w:numId="14" w16cid:durableId="1517694182">
    <w:abstractNumId w:val="14"/>
  </w:num>
  <w:num w:numId="15" w16cid:durableId="815797891">
    <w:abstractNumId w:val="38"/>
  </w:num>
  <w:num w:numId="16" w16cid:durableId="251282083">
    <w:abstractNumId w:val="8"/>
  </w:num>
  <w:num w:numId="17" w16cid:durableId="1185630687">
    <w:abstractNumId w:val="24"/>
  </w:num>
  <w:num w:numId="18" w16cid:durableId="938754063">
    <w:abstractNumId w:val="31"/>
  </w:num>
  <w:num w:numId="19" w16cid:durableId="287009962">
    <w:abstractNumId w:val="27"/>
  </w:num>
  <w:num w:numId="20" w16cid:durableId="1427114931">
    <w:abstractNumId w:val="0"/>
  </w:num>
  <w:num w:numId="21" w16cid:durableId="1996837994">
    <w:abstractNumId w:val="18"/>
  </w:num>
  <w:num w:numId="22" w16cid:durableId="1249198344">
    <w:abstractNumId w:val="1"/>
  </w:num>
  <w:num w:numId="23" w16cid:durableId="1945647392">
    <w:abstractNumId w:val="29"/>
  </w:num>
  <w:num w:numId="24" w16cid:durableId="537162661">
    <w:abstractNumId w:val="32"/>
  </w:num>
  <w:num w:numId="25" w16cid:durableId="1989938239">
    <w:abstractNumId w:val="21"/>
  </w:num>
  <w:num w:numId="26" w16cid:durableId="1967273059">
    <w:abstractNumId w:val="36"/>
  </w:num>
  <w:num w:numId="27" w16cid:durableId="1065761970">
    <w:abstractNumId w:val="15"/>
  </w:num>
  <w:num w:numId="28" w16cid:durableId="45295993">
    <w:abstractNumId w:val="6"/>
  </w:num>
  <w:num w:numId="29" w16cid:durableId="698167985">
    <w:abstractNumId w:val="25"/>
  </w:num>
  <w:num w:numId="30" w16cid:durableId="1709643113">
    <w:abstractNumId w:val="37"/>
  </w:num>
  <w:num w:numId="31" w16cid:durableId="934480746">
    <w:abstractNumId w:val="34"/>
  </w:num>
  <w:num w:numId="32" w16cid:durableId="541211672">
    <w:abstractNumId w:val="13"/>
  </w:num>
  <w:num w:numId="33" w16cid:durableId="1345130465">
    <w:abstractNumId w:val="30"/>
  </w:num>
  <w:num w:numId="34" w16cid:durableId="1757743752">
    <w:abstractNumId w:val="28"/>
  </w:num>
  <w:num w:numId="35" w16cid:durableId="83184206">
    <w:abstractNumId w:val="7"/>
  </w:num>
  <w:num w:numId="36" w16cid:durableId="1037505896">
    <w:abstractNumId w:val="41"/>
  </w:num>
  <w:num w:numId="37" w16cid:durableId="1162084678">
    <w:abstractNumId w:val="16"/>
  </w:num>
  <w:num w:numId="38" w16cid:durableId="247926190">
    <w:abstractNumId w:val="22"/>
  </w:num>
  <w:num w:numId="39" w16cid:durableId="445580875">
    <w:abstractNumId w:val="3"/>
  </w:num>
  <w:num w:numId="40" w16cid:durableId="141699055">
    <w:abstractNumId w:val="19"/>
  </w:num>
  <w:num w:numId="41" w16cid:durableId="520552984">
    <w:abstractNumId w:val="2"/>
  </w:num>
  <w:num w:numId="42" w16cid:durableId="751006063">
    <w:abstractNumId w:val="17"/>
  </w:num>
  <w:num w:numId="43" w16cid:durableId="11152545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6C"/>
    <w:rsid w:val="00003994"/>
    <w:rsid w:val="00004375"/>
    <w:rsid w:val="0001720F"/>
    <w:rsid w:val="00027373"/>
    <w:rsid w:val="00034722"/>
    <w:rsid w:val="00037EE7"/>
    <w:rsid w:val="0005228B"/>
    <w:rsid w:val="0006625E"/>
    <w:rsid w:val="00080F92"/>
    <w:rsid w:val="00082066"/>
    <w:rsid w:val="00082741"/>
    <w:rsid w:val="000840A1"/>
    <w:rsid w:val="0009182C"/>
    <w:rsid w:val="000974AD"/>
    <w:rsid w:val="000A0354"/>
    <w:rsid w:val="000A1EFD"/>
    <w:rsid w:val="000D1EE7"/>
    <w:rsid w:val="000F4520"/>
    <w:rsid w:val="000F6AC8"/>
    <w:rsid w:val="00106C59"/>
    <w:rsid w:val="00121A07"/>
    <w:rsid w:val="00132D55"/>
    <w:rsid w:val="00134455"/>
    <w:rsid w:val="00162E82"/>
    <w:rsid w:val="00163E52"/>
    <w:rsid w:val="00165C18"/>
    <w:rsid w:val="0016622B"/>
    <w:rsid w:val="00183508"/>
    <w:rsid w:val="00183679"/>
    <w:rsid w:val="001873B5"/>
    <w:rsid w:val="001B1DFD"/>
    <w:rsid w:val="001C0A6D"/>
    <w:rsid w:val="001C230A"/>
    <w:rsid w:val="001C3868"/>
    <w:rsid w:val="001D2AD6"/>
    <w:rsid w:val="001F2517"/>
    <w:rsid w:val="001F495A"/>
    <w:rsid w:val="00212F55"/>
    <w:rsid w:val="0021669C"/>
    <w:rsid w:val="00217A39"/>
    <w:rsid w:val="00217F58"/>
    <w:rsid w:val="00231B7D"/>
    <w:rsid w:val="00237569"/>
    <w:rsid w:val="00250058"/>
    <w:rsid w:val="00254A60"/>
    <w:rsid w:val="00260DDA"/>
    <w:rsid w:val="00266F49"/>
    <w:rsid w:val="00276284"/>
    <w:rsid w:val="00280C07"/>
    <w:rsid w:val="00292591"/>
    <w:rsid w:val="002A1ED6"/>
    <w:rsid w:val="002A39B2"/>
    <w:rsid w:val="002B0B2A"/>
    <w:rsid w:val="002B46E1"/>
    <w:rsid w:val="002C446E"/>
    <w:rsid w:val="002D3FBD"/>
    <w:rsid w:val="002E03E0"/>
    <w:rsid w:val="00301A2A"/>
    <w:rsid w:val="00324282"/>
    <w:rsid w:val="00360412"/>
    <w:rsid w:val="00370712"/>
    <w:rsid w:val="00376A6A"/>
    <w:rsid w:val="00393310"/>
    <w:rsid w:val="003A30C8"/>
    <w:rsid w:val="003B3362"/>
    <w:rsid w:val="003B479F"/>
    <w:rsid w:val="003C4B87"/>
    <w:rsid w:val="003D4630"/>
    <w:rsid w:val="003E3690"/>
    <w:rsid w:val="00412204"/>
    <w:rsid w:val="0041423F"/>
    <w:rsid w:val="00425C1D"/>
    <w:rsid w:val="00433F54"/>
    <w:rsid w:val="004506DA"/>
    <w:rsid w:val="0047175E"/>
    <w:rsid w:val="00477809"/>
    <w:rsid w:val="00483B3C"/>
    <w:rsid w:val="00483CF7"/>
    <w:rsid w:val="00497B73"/>
    <w:rsid w:val="004A15BA"/>
    <w:rsid w:val="004A2550"/>
    <w:rsid w:val="004A5036"/>
    <w:rsid w:val="004B6622"/>
    <w:rsid w:val="004C0674"/>
    <w:rsid w:val="004C4D9C"/>
    <w:rsid w:val="004D4720"/>
    <w:rsid w:val="004D7999"/>
    <w:rsid w:val="004F3537"/>
    <w:rsid w:val="004F3B49"/>
    <w:rsid w:val="00515370"/>
    <w:rsid w:val="00525898"/>
    <w:rsid w:val="00545027"/>
    <w:rsid w:val="0055600F"/>
    <w:rsid w:val="00560CB8"/>
    <w:rsid w:val="00565615"/>
    <w:rsid w:val="005664CA"/>
    <w:rsid w:val="0058266E"/>
    <w:rsid w:val="0058688A"/>
    <w:rsid w:val="00590BCD"/>
    <w:rsid w:val="00593BAE"/>
    <w:rsid w:val="005A1DFD"/>
    <w:rsid w:val="005A32E4"/>
    <w:rsid w:val="005A4E84"/>
    <w:rsid w:val="005A5292"/>
    <w:rsid w:val="005A732D"/>
    <w:rsid w:val="005B23B6"/>
    <w:rsid w:val="005C5563"/>
    <w:rsid w:val="005E11CE"/>
    <w:rsid w:val="005E7D95"/>
    <w:rsid w:val="005F4AAA"/>
    <w:rsid w:val="00604132"/>
    <w:rsid w:val="00604F1C"/>
    <w:rsid w:val="00617ED5"/>
    <w:rsid w:val="00622A27"/>
    <w:rsid w:val="006409F9"/>
    <w:rsid w:val="0064287C"/>
    <w:rsid w:val="006440B6"/>
    <w:rsid w:val="00650F99"/>
    <w:rsid w:val="0066572E"/>
    <w:rsid w:val="006753A9"/>
    <w:rsid w:val="00683740"/>
    <w:rsid w:val="006964C0"/>
    <w:rsid w:val="006A40D0"/>
    <w:rsid w:val="006A592E"/>
    <w:rsid w:val="006A6CAF"/>
    <w:rsid w:val="006A6F49"/>
    <w:rsid w:val="006A7144"/>
    <w:rsid w:val="006B4CEC"/>
    <w:rsid w:val="006C60F3"/>
    <w:rsid w:val="006F0429"/>
    <w:rsid w:val="006F4B6C"/>
    <w:rsid w:val="006F6BBC"/>
    <w:rsid w:val="0070714C"/>
    <w:rsid w:val="00745807"/>
    <w:rsid w:val="00747464"/>
    <w:rsid w:val="00754FFE"/>
    <w:rsid w:val="007779B2"/>
    <w:rsid w:val="0078116D"/>
    <w:rsid w:val="00786A91"/>
    <w:rsid w:val="007A6889"/>
    <w:rsid w:val="007B5306"/>
    <w:rsid w:val="007C2CC3"/>
    <w:rsid w:val="007C351D"/>
    <w:rsid w:val="007D543E"/>
    <w:rsid w:val="007E0808"/>
    <w:rsid w:val="007E3059"/>
    <w:rsid w:val="007E4ED5"/>
    <w:rsid w:val="007E7421"/>
    <w:rsid w:val="007F5A92"/>
    <w:rsid w:val="007F5F4E"/>
    <w:rsid w:val="007F7616"/>
    <w:rsid w:val="0080116E"/>
    <w:rsid w:val="008012A4"/>
    <w:rsid w:val="008060DE"/>
    <w:rsid w:val="00807BAA"/>
    <w:rsid w:val="00814DCE"/>
    <w:rsid w:val="00821BD0"/>
    <w:rsid w:val="00824097"/>
    <w:rsid w:val="00824181"/>
    <w:rsid w:val="0083144B"/>
    <w:rsid w:val="00853611"/>
    <w:rsid w:val="0085420D"/>
    <w:rsid w:val="008550EF"/>
    <w:rsid w:val="008617A6"/>
    <w:rsid w:val="00863A25"/>
    <w:rsid w:val="008641C8"/>
    <w:rsid w:val="008776EB"/>
    <w:rsid w:val="0089637D"/>
    <w:rsid w:val="00897783"/>
    <w:rsid w:val="008B0045"/>
    <w:rsid w:val="008B0889"/>
    <w:rsid w:val="008B67EB"/>
    <w:rsid w:val="008E0DEF"/>
    <w:rsid w:val="008E3636"/>
    <w:rsid w:val="00913BF3"/>
    <w:rsid w:val="00917950"/>
    <w:rsid w:val="00921645"/>
    <w:rsid w:val="00931D14"/>
    <w:rsid w:val="009331A5"/>
    <w:rsid w:val="00933A89"/>
    <w:rsid w:val="00944F57"/>
    <w:rsid w:val="009477D5"/>
    <w:rsid w:val="00977EF7"/>
    <w:rsid w:val="00986996"/>
    <w:rsid w:val="0099077E"/>
    <w:rsid w:val="009A00A8"/>
    <w:rsid w:val="009A542A"/>
    <w:rsid w:val="009B480D"/>
    <w:rsid w:val="009C4D87"/>
    <w:rsid w:val="009C56C0"/>
    <w:rsid w:val="009D20DE"/>
    <w:rsid w:val="009F0FEB"/>
    <w:rsid w:val="009F1C70"/>
    <w:rsid w:val="009F77BA"/>
    <w:rsid w:val="00A13D4B"/>
    <w:rsid w:val="00A179F1"/>
    <w:rsid w:val="00A25CA7"/>
    <w:rsid w:val="00A27A5C"/>
    <w:rsid w:val="00A3232A"/>
    <w:rsid w:val="00A343FF"/>
    <w:rsid w:val="00A366BE"/>
    <w:rsid w:val="00A466C8"/>
    <w:rsid w:val="00A47FF7"/>
    <w:rsid w:val="00A56234"/>
    <w:rsid w:val="00A72869"/>
    <w:rsid w:val="00A74A1D"/>
    <w:rsid w:val="00A76D93"/>
    <w:rsid w:val="00A942E0"/>
    <w:rsid w:val="00AA0407"/>
    <w:rsid w:val="00AA4E4E"/>
    <w:rsid w:val="00AC2BAD"/>
    <w:rsid w:val="00AE1768"/>
    <w:rsid w:val="00AE1B0F"/>
    <w:rsid w:val="00AE2597"/>
    <w:rsid w:val="00AF0CEC"/>
    <w:rsid w:val="00AF37E4"/>
    <w:rsid w:val="00B02BDD"/>
    <w:rsid w:val="00B033A1"/>
    <w:rsid w:val="00B056D9"/>
    <w:rsid w:val="00B17D1F"/>
    <w:rsid w:val="00B2161A"/>
    <w:rsid w:val="00B24D5E"/>
    <w:rsid w:val="00B6696C"/>
    <w:rsid w:val="00B75824"/>
    <w:rsid w:val="00B806AC"/>
    <w:rsid w:val="00B842E4"/>
    <w:rsid w:val="00B86EB7"/>
    <w:rsid w:val="00B90B9D"/>
    <w:rsid w:val="00B91191"/>
    <w:rsid w:val="00B91D8E"/>
    <w:rsid w:val="00B93993"/>
    <w:rsid w:val="00BA675E"/>
    <w:rsid w:val="00BB5902"/>
    <w:rsid w:val="00BC19D9"/>
    <w:rsid w:val="00BD37BE"/>
    <w:rsid w:val="00BD6A10"/>
    <w:rsid w:val="00BF33B2"/>
    <w:rsid w:val="00BF7310"/>
    <w:rsid w:val="00C04C07"/>
    <w:rsid w:val="00C1382E"/>
    <w:rsid w:val="00C40F2C"/>
    <w:rsid w:val="00C6398B"/>
    <w:rsid w:val="00C6690B"/>
    <w:rsid w:val="00CA2777"/>
    <w:rsid w:val="00CA3AA8"/>
    <w:rsid w:val="00CB0CA0"/>
    <w:rsid w:val="00CC4274"/>
    <w:rsid w:val="00CC5359"/>
    <w:rsid w:val="00CD3889"/>
    <w:rsid w:val="00CE2C06"/>
    <w:rsid w:val="00CF64FA"/>
    <w:rsid w:val="00D05BCC"/>
    <w:rsid w:val="00D13990"/>
    <w:rsid w:val="00D222B7"/>
    <w:rsid w:val="00D5166A"/>
    <w:rsid w:val="00D56F83"/>
    <w:rsid w:val="00D809FF"/>
    <w:rsid w:val="00D82E91"/>
    <w:rsid w:val="00DB1E4A"/>
    <w:rsid w:val="00DB2CDF"/>
    <w:rsid w:val="00DB36E1"/>
    <w:rsid w:val="00DC20F2"/>
    <w:rsid w:val="00DD36BE"/>
    <w:rsid w:val="00DD4F27"/>
    <w:rsid w:val="00DD7443"/>
    <w:rsid w:val="00DD7AE6"/>
    <w:rsid w:val="00DF0FE5"/>
    <w:rsid w:val="00E04605"/>
    <w:rsid w:val="00E06D52"/>
    <w:rsid w:val="00E16AFE"/>
    <w:rsid w:val="00E24DFC"/>
    <w:rsid w:val="00E26E89"/>
    <w:rsid w:val="00E3040C"/>
    <w:rsid w:val="00E30888"/>
    <w:rsid w:val="00E3614A"/>
    <w:rsid w:val="00E52331"/>
    <w:rsid w:val="00E56BF2"/>
    <w:rsid w:val="00E62255"/>
    <w:rsid w:val="00E66C1B"/>
    <w:rsid w:val="00E72BD0"/>
    <w:rsid w:val="00E77756"/>
    <w:rsid w:val="00E82BFD"/>
    <w:rsid w:val="00EB1162"/>
    <w:rsid w:val="00EB3ACF"/>
    <w:rsid w:val="00EC03C5"/>
    <w:rsid w:val="00EC64BF"/>
    <w:rsid w:val="00ED4C58"/>
    <w:rsid w:val="00ED518E"/>
    <w:rsid w:val="00EF1B6E"/>
    <w:rsid w:val="00EF1BD7"/>
    <w:rsid w:val="00F0294F"/>
    <w:rsid w:val="00F06E69"/>
    <w:rsid w:val="00F07B09"/>
    <w:rsid w:val="00F42DE5"/>
    <w:rsid w:val="00F52F31"/>
    <w:rsid w:val="00F54F60"/>
    <w:rsid w:val="00F62F2B"/>
    <w:rsid w:val="00F659FE"/>
    <w:rsid w:val="00F66FEE"/>
    <w:rsid w:val="00F72E41"/>
    <w:rsid w:val="00F8544E"/>
    <w:rsid w:val="00FA0536"/>
    <w:rsid w:val="00FC0266"/>
    <w:rsid w:val="00FC66C2"/>
    <w:rsid w:val="00FD09E6"/>
    <w:rsid w:val="00FD7ED8"/>
    <w:rsid w:val="00FE15A7"/>
    <w:rsid w:val="00FE1682"/>
    <w:rsid w:val="00FE2B62"/>
    <w:rsid w:val="00FF451D"/>
    <w:rsid w:val="00FF46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D7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val="en-US"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E06D52"/>
    <w:rPr>
      <w:vertAlign w:val="superscript"/>
    </w:rPr>
  </w:style>
  <w:style w:type="paragraph" w:customStyle="1" w:styleId="Appelnotedebasde">
    <w:name w:val="Appel note de bas de..."/>
    <w:basedOn w:val="Normal"/>
    <w:link w:val="FootnoteReference"/>
    <w:uiPriority w:val="99"/>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character" w:styleId="Hyperlink">
    <w:name w:val="Hyperlink"/>
    <w:uiPriority w:val="99"/>
    <w:unhideWhenUsed/>
    <w:rsid w:val="004B6622"/>
    <w:rPr>
      <w:color w:val="0000FF"/>
      <w:u w:val="single"/>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4B662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4B6622"/>
    <w:rPr>
      <w:lang w:val="en-US" w:eastAsia="en-US"/>
    </w:rPr>
  </w:style>
  <w:style w:type="paragraph" w:styleId="ListParagraph">
    <w:name w:val="List Paragraph"/>
    <w:basedOn w:val="Normal"/>
    <w:link w:val="ListParagraphChar"/>
    <w:uiPriority w:val="34"/>
    <w:qFormat/>
    <w:rsid w:val="004B6622"/>
    <w:pPr>
      <w:ind w:left="720"/>
      <w:contextualSpacing/>
    </w:pPr>
  </w:style>
  <w:style w:type="character" w:customStyle="1" w:styleId="ListParagraphChar">
    <w:name w:val="List Paragraph Char"/>
    <w:link w:val="ListParagraph"/>
    <w:uiPriority w:val="34"/>
    <w:rsid w:val="008E0DEF"/>
    <w:rPr>
      <w:sz w:val="22"/>
      <w:szCs w:val="22"/>
      <w:lang w:val="en-US" w:eastAsia="en-US"/>
    </w:rPr>
  </w:style>
  <w:style w:type="paragraph" w:customStyle="1" w:styleId="MediumGrid21">
    <w:name w:val="Medium Grid 21"/>
    <w:link w:val="MediumGrid2Char"/>
    <w:uiPriority w:val="1"/>
    <w:qFormat/>
    <w:rsid w:val="00477809"/>
    <w:rPr>
      <w:rFonts w:eastAsia="MS Mincho"/>
      <w:sz w:val="22"/>
      <w:szCs w:val="22"/>
      <w:lang w:val="pt-BR" w:eastAsia="en-US"/>
    </w:rPr>
  </w:style>
  <w:style w:type="paragraph" w:customStyle="1" w:styleId="Default">
    <w:name w:val="Default"/>
    <w:rsid w:val="00477809"/>
    <w:pPr>
      <w:autoSpaceDE w:val="0"/>
      <w:autoSpaceDN w:val="0"/>
      <w:adjustRightInd w:val="0"/>
    </w:pPr>
    <w:rPr>
      <w:rFonts w:ascii="Cambria" w:eastAsia="MS Mincho" w:hAnsi="Cambria" w:cs="Cambria"/>
      <w:color w:val="000000"/>
      <w:sz w:val="24"/>
      <w:szCs w:val="24"/>
      <w:lang w:val="pt-BR" w:eastAsia="pt-BR"/>
    </w:rPr>
  </w:style>
  <w:style w:type="character" w:customStyle="1" w:styleId="MediumGrid2Char">
    <w:name w:val="Medium Grid 2 Char"/>
    <w:link w:val="MediumGrid21"/>
    <w:uiPriority w:val="1"/>
    <w:rsid w:val="00477809"/>
    <w:rPr>
      <w:rFonts w:eastAsia="MS Mincho"/>
      <w:sz w:val="22"/>
      <w:szCs w:val="22"/>
      <w:lang w:val="pt-BR" w:eastAsia="en-US"/>
    </w:rPr>
  </w:style>
  <w:style w:type="character" w:styleId="FollowedHyperlink">
    <w:name w:val="FollowedHyperlink"/>
    <w:basedOn w:val="DefaultParagraphFont"/>
    <w:uiPriority w:val="99"/>
    <w:semiHidden/>
    <w:unhideWhenUsed/>
    <w:rsid w:val="0099077E"/>
    <w:rPr>
      <w:color w:val="954F72" w:themeColor="followedHyperlink"/>
      <w:u w:val="single"/>
    </w:rPr>
  </w:style>
  <w:style w:type="paragraph" w:styleId="Revision">
    <w:name w:val="Revision"/>
    <w:hidden/>
    <w:uiPriority w:val="99"/>
    <w:semiHidden/>
    <w:rsid w:val="00BB5902"/>
    <w:rPr>
      <w:sz w:val="22"/>
      <w:szCs w:val="22"/>
      <w:lang w:val="en-US" w:eastAsia="en-US"/>
    </w:rPr>
  </w:style>
  <w:style w:type="character" w:styleId="LineNumber">
    <w:name w:val="line number"/>
    <w:basedOn w:val="DefaultParagraphFont"/>
    <w:uiPriority w:val="99"/>
    <w:semiHidden/>
    <w:unhideWhenUsed/>
    <w:rsid w:val="008641C8"/>
  </w:style>
  <w:style w:type="character" w:styleId="UnresolvedMention">
    <w:name w:val="Unresolved Mention"/>
    <w:basedOn w:val="DefaultParagraphFont"/>
    <w:uiPriority w:val="99"/>
    <w:semiHidden/>
    <w:unhideWhenUsed/>
    <w:rsid w:val="00134455"/>
    <w:rPr>
      <w:color w:val="605E5C"/>
      <w:shd w:val="clear" w:color="auto" w:fill="E1DFDD"/>
    </w:rPr>
  </w:style>
  <w:style w:type="character" w:styleId="CommentReference">
    <w:name w:val="annotation reference"/>
    <w:basedOn w:val="DefaultParagraphFont"/>
    <w:uiPriority w:val="99"/>
    <w:semiHidden/>
    <w:unhideWhenUsed/>
    <w:rsid w:val="00BD6A10"/>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as.org/es/cidh/decisiones/2015/COSA108-00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as.org/es/cidh/decisiones/2015/COSA108-00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oas.org/es/cidh/docs/anual/2022/capitulos/4-IA2022_Cap_2_ES.pdf" TargetMode="External"/><Relationship Id="rId2" Type="http://schemas.openxmlformats.org/officeDocument/2006/relationships/hyperlink" Target="http://www.cidh.oas.org/annualrep/2008sp/Colombia401-05.sp.htm" TargetMode="External"/><Relationship Id="rId1" Type="http://schemas.openxmlformats.org/officeDocument/2006/relationships/hyperlink" Target="https://www.oas.org/es/cidh/docs/anual/2022/capitulos/4-IA2022_Cap_2_ES.pdf" TargetMode="External"/><Relationship Id="rId4" Type="http://schemas.openxmlformats.org/officeDocument/2006/relationships/hyperlink" Target="https://www.oas.org/es/cidh/docs/anual/2023/capitulos/IA2023_Cap_2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8" ma:contentTypeDescription="Create a new document." ma:contentTypeScope="" ma:versionID="2f04fed201ecf924f5e5f0c570ae3e85">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2088b6f29b0ecff0e1f61368e818cef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E21F1-7C1A-4FE0-BB38-14863198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C47ED616-BFB9-41ED-9515-06401B73B3C4}">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5.xml><?xml version="1.0" encoding="utf-8"?>
<ds:datastoreItem xmlns:ds="http://schemas.openxmlformats.org/officeDocument/2006/customXml" ds:itemID="{67B860E9-D705-4CC0-8F2E-B8214DB7B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2024-05-02T14:09:00Z</dcterms:created>
  <dcterms:modified xsi:type="dcterms:W3CDTF">2024-05-02T14:09:00Z</dcterms:modified>
</cp:coreProperties>
</file>